
<file path=[Content_Types].xml><?xml version="1.0" encoding="utf-8"?>
<Types xmlns="http://schemas.openxmlformats.org/package/2006/content-types" xmlns:w16cex="http://schemas.microsoft.com/office/word/2018/wordml/cex" xmlns:w16sdtdh="http://schemas.microsoft.com/office/word/2020/wordml/sdtdatahash"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2.9 (Apache licensed) using REFERENCE JAXB in Oracle Java 1.8.0_351 on Linux -->
    <w:p w:rsidRPr="005F7586" w:rsidR="00B53832" w:rsidP="00B53832" w:rsidRDefault="00B53832" w14:paraId="1701177C" w14:textId="77777777">
      <w:pPr>
        <w:pStyle w:val="En-tte"/>
        <w:jc w:val="center"/>
        <w:rPr>
          <w:rFonts w:ascii="Century Gothic" w:hAnsi="Century Gothic" w:cs="Garamond"/>
          <w:b/>
          <w:lang w:val="en-US"/>
        </w:rPr>
      </w:pPr>
      <w:r w:rsidRPr="005F7586">
        <w:rPr>
          <w:rFonts w:ascii="Century Gothic" w:hAnsi="Century Gothic" w:cs="Garamond"/>
          <w:i/>
          <w:iCs/>
          <w:lang w:val="en-US"/>
        </w:rPr>
        <w:t>_____________________</w:t>
      </w:r>
      <w:r w:rsidRPr="005F7586">
        <w:rPr>
          <w:rFonts w:ascii="Century Gothic" w:hAnsi="Century Gothic" w:cs="Garamond"/>
          <w:i/>
          <w:iCs/>
          <w:sz w:val="36"/>
          <w:lang w:val="en-US"/>
        </w:rPr>
        <w:t xml:space="preserve"> </w:t>
      </w:r>
      <w:r w:rsidRPr="005F7586">
        <w:rPr>
          <w:rFonts w:ascii="Century Gothic" w:hAnsi="Century Gothic" w:cs="Garamond"/>
          <w:b/>
          <w:iCs/>
          <w:sz w:val="36"/>
          <w:lang w:val="en-US"/>
        </w:rPr>
        <w:t>BASE DEMO</w:t>
      </w:r>
      <w:r w:rsidRPr="005F7586">
        <w:rPr>
          <w:rFonts w:ascii="Century Gothic" w:hAnsi="Century Gothic" w:cs="Garamond"/>
          <w:b/>
          <w:iCs/>
          <w:sz w:val="22"/>
          <w:lang w:val="en-US"/>
        </w:rPr>
        <w:t>__________________</w:t>
      </w:r>
    </w:p>
    <w:p w:rsidRPr="005F7586" w:rsidR="00B53832" w:rsidP="00B53832" w:rsidRDefault="00B53832" w14:paraId="1FEE9C1B" w14:textId="77777777">
      <w:pPr>
        <w:pStyle w:val="En-tte"/>
        <w:jc w:val="center"/>
        <w:rPr>
          <w:rFonts w:ascii="Century Gothic" w:hAnsi="Century Gothic" w:cs="Garamond"/>
          <w:b/>
          <w:iCs/>
          <w:lang w:val="it-IT"/>
        </w:rPr>
      </w:pPr>
      <w:r w:rsidRPr="005F7586">
        <w:rPr>
          <w:rFonts w:ascii="Century Gothic" w:hAnsi="Century Gothic" w:cs="Garamond"/>
          <w:b/>
          <w:iCs/>
          <w:lang w:val="it-IT"/>
        </w:rPr>
        <w:t>M  A  N  D  A  T  A  I  R  E     J  U  D  I  C  I  A  I  R  E</w:t>
      </w:r>
    </w:p>
    <w:p w:rsidRPr="005F7586" w:rsidR="00B53832" w:rsidP="00B53832" w:rsidRDefault="00B53832" w14:paraId="1FE78A28" w14:textId="31DB260A">
      <w:pPr>
        <w:pStyle w:val="En-tte"/>
        <w:jc w:val="center"/>
        <w:rPr>
          <w:rFonts w:ascii="Century Gothic" w:hAnsi="Century Gothic" w:cs="Garamond"/>
          <w:iCs/>
        </w:rPr>
      </w:pPr>
      <w:r w:rsidRPr="005F7586">
        <w:rPr>
          <w:rFonts w:ascii="Century Gothic" w:hAnsi="Century Gothic" w:cs="Garamond"/>
          <w:bCs/>
          <w:iCs/>
        </w:rPr>
        <w:t>À la Sauvegarde, au Redressement et à la Liquidation des Entreprises</w:t>
      </w:r>
    </w:p>
    <w:p w:rsidRPr="005F7586" w:rsidR="00B53832" w:rsidRDefault="00B53832" w14:paraId="7115389D" w14:textId="5629C815">
      <w:pPr>
        <w:rPr>
          <w:rFonts w:ascii="Century Gothic" w:hAnsi="Century Gothic"/>
        </w:rPr>
      </w:pPr>
    </w:p>
    <w:p w:rsidRPr="005F7586" w:rsidR="00B53832" w:rsidRDefault="00B53832" w14:paraId="1BEDC0F2" w14:textId="0B0FCC4C">
      <w:pPr>
        <w:rPr>
          <w:rFonts w:ascii="Century Gothic" w:hAnsi="Century Gothic"/>
        </w:rPr>
      </w:pPr>
    </w:p>
    <w:p w:rsidRPr="005F7586" w:rsidR="00B53832" w:rsidRDefault="00B53832" w14:paraId="781D44EA" w14:textId="77777777">
      <w:pPr>
        <w:rPr>
          <w:rFonts w:ascii="Century Gothic" w:hAnsi="Century Gothic"/>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920"/>
        <w:gridCol w:w="4678"/>
      </w:tblGrid>
      <w:tr w:rsidRPr="005F7586" w:rsidR="008C590F" w:rsidTr="00B53832" w14:paraId="6E519687" w14:textId="77777777">
        <w:tc>
          <w:tcPr>
            <w:tcW w:w="5920" w:type="dxa"/>
          </w:tcPr>
          <w:p w:rsidRPr="005F7586" w:rsidR="008C590F" w:rsidP="00CD027A" w:rsidRDefault="008C590F" w14:paraId="626CE1D0" w14:textId="77777777">
            <w:pPr>
              <w:pStyle w:val="TextecourantFIDES"/>
              <w:rPr>
                <w:rFonts w:ascii="Century Gothic" w:hAnsi="Century Gothic" w:cs="Calibri-Bold"/>
                <w:b/>
                <w:bCs/>
                <w:color w:val="auto"/>
                <w:sz w:val="16"/>
                <w:szCs w:val="16"/>
              </w:rPr>
            </w:pPr>
            <w:r w:rsidRPr="005F7586">
              <w:rPr>
                <w:rFonts w:ascii="Century Gothic" w:hAnsi="Century Gothic" w:cs="Calibri-Bold"/>
                <w:b/>
                <w:bCs/>
                <w:color w:val="auto"/>
                <w:sz w:val="16"/>
                <w:szCs w:val="16"/>
              </w:rPr>
              <w:t>Liquidation Judiciaire Simplifiée SARL PASSIF DEBUTANT</w:t>
            </w:r>
          </w:p>
          <w:p w:rsidR="008C590F" w:rsidP="00CD027A" w:rsidRDefault="008C590F" w14:paraId="061FDEA7" w14:textId="3C6B112D">
            <w:pPr>
              <w:pStyle w:val="TextecourantFIDES"/>
              <w:rPr>
                <w:rFonts w:ascii="Century Gothic" w:hAnsi="Century Gothic" w:cs="Calibri-Bold"/>
                <w:b/>
                <w:bCs/>
                <w:color w:val="auto"/>
                <w:sz w:val="16"/>
                <w:szCs w:val="16"/>
              </w:rPr>
            </w:pPr>
            <w:r w:rsidRPr="005F7586">
              <w:rPr>
                <w:rFonts w:ascii="Century Gothic" w:hAnsi="Century Gothic" w:cs="Calibri"/>
                <w:b/>
                <w:color w:val="auto"/>
                <w:sz w:val="16"/>
                <w:szCs w:val="16"/>
              </w:rPr>
              <w:t>Réf : GLI</w:t>
            </w:r>
            <w:r w:rsidRPr="005F7586">
              <w:rPr>
                <w:rFonts w:ascii="Century Gothic" w:hAnsi="Century Gothic" w:cs="Calibri-Bold"/>
                <w:b/>
                <w:bCs/>
                <w:color w:val="auto"/>
                <w:sz w:val="16"/>
                <w:szCs w:val="16"/>
              </w:rPr>
              <w:t>/BIG/BIG/212930</w:t>
            </w:r>
          </w:p>
          <w:p w:rsidR="00F308E3" w:rsidP="00CD027A" w:rsidRDefault="00F308E3" w14:paraId="3558D16A" w14:textId="77777777">
            <w:pPr>
              <w:pStyle w:val="TextecourantFIDES"/>
              <w:rPr>
                <w:rFonts w:ascii="Century Gothic" w:hAnsi="Century Gothic" w:cs="Calibri"/>
                <w:b/>
                <w:color w:val="auto"/>
                <w:sz w:val="16"/>
                <w:szCs w:val="16"/>
              </w:rPr>
            </w:pPr>
          </w:p>
          <w:p w:rsidRPr="005F7586" w:rsidR="00F308E3" w:rsidP="00CD027A" w:rsidRDefault="00F308E3" w14:paraId="727EAF9B" w14:textId="0ED25022">
            <w:pPr>
              <w:pStyle w:val="TextecourantFIDES"/>
              <w:rPr>
                <w:rFonts w:ascii="Century Gothic" w:hAnsi="Century Gothic" w:cs="Calibri"/>
                <w:b/>
                <w:color w:val="auto"/>
                <w:sz w:val="16"/>
                <w:szCs w:val="16"/>
              </w:rPr>
            </w:pPr>
            <w:r>
              <w:rPr>
                <w:rFonts w:ascii="Century Gothic" w:hAnsi="Century Gothic" w:cs="Calibri"/>
                <w:b/>
                <w:color w:val="auto"/>
                <w:sz w:val="16"/>
                <w:szCs w:val="16"/>
              </w:rPr>
              <w:t xml:space="preserve">Référence à rappeler : </w:t>
            </w:r>
            <w:r w:rsidRPr="00F308E3">
              <w:rPr>
                <w:rFonts w:ascii="Century Gothic" w:hAnsi="Century Gothic" w:cs="Calibri"/>
                <w:b/>
                <w:color w:val="auto"/>
                <w:sz w:val="16"/>
                <w:szCs w:val="16"/>
              </w:rPr>
              <w:t>A3-EH-9D</w:t>
            </w:r>
          </w:p>
          <w:p w:rsidRPr="005F7586" w:rsidR="008C590F" w:rsidP="00CD027A" w:rsidRDefault="008C590F" w14:paraId="0FAD6A56" w14:textId="77777777">
            <w:pPr>
              <w:pStyle w:val="TextecourantFIDES"/>
              <w:rPr>
                <w:rFonts w:ascii="Century Gothic" w:hAnsi="Century Gothic" w:cs="Calibri"/>
                <w:color w:val="auto"/>
                <w:sz w:val="16"/>
                <w:szCs w:val="16"/>
              </w:rPr>
            </w:pPr>
          </w:p>
          <w:p w:rsidRPr="00EC7B17" w:rsidR="00EC7B17" w:rsidP="00EC7B17" w:rsidRDefault="00EC7B17" w14:paraId="7C9C05A8" w14:textId="77777777">
            <w:pPr>
              <w:pStyle w:val="TextecourantFIDES"/>
              <w:rPr>
                <w:rFonts w:ascii="Century Gothic" w:hAnsi="Century Gothic" w:cs="Calibri"/>
                <w:b/>
                <w:sz w:val="16"/>
                <w:szCs w:val="16"/>
              </w:rPr>
            </w:pPr>
            <w:r w:rsidRPr="00EC7B17">
              <w:rPr>
                <w:rFonts w:ascii="Century Gothic" w:hAnsi="Century Gothic" w:cs="Calibri"/>
                <w:b/>
                <w:sz w:val="16"/>
                <w:szCs w:val="16"/>
              </w:rPr>
              <w:t>Site internet : https://jr2020.gemweb.fr/</w:t>
            </w:r>
          </w:p>
          <w:p w:rsidRPr="005F7586" w:rsidR="008C590F" w:rsidP="00CD027A" w:rsidRDefault="008C590F" w14:paraId="67F2AE88" w14:textId="77777777">
            <w:pPr>
              <w:pStyle w:val="TextecourantFIDES"/>
              <w:rPr>
                <w:rFonts w:ascii="Century Gothic" w:hAnsi="Century Gothic" w:cs="Calibri"/>
                <w:color w:val="auto"/>
                <w:sz w:val="16"/>
                <w:szCs w:val="16"/>
              </w:rPr>
            </w:pPr>
          </w:p>
          <w:p w:rsidRPr="005F7586" w:rsidR="008C590F" w:rsidP="00CD027A" w:rsidRDefault="008C590F" w14:paraId="641E90DD" w14:textId="77777777">
            <w:pPr>
              <w:pStyle w:val="TextecourantFIDES"/>
              <w:rPr>
                <w:rFonts w:ascii="Century Gothic" w:hAnsi="Century Gothic"/>
                <w:color w:val="auto"/>
                <w:sz w:val="18"/>
                <w:szCs w:val="18"/>
              </w:rPr>
            </w:pPr>
            <w:r w:rsidRPr="005F7586">
              <w:rPr>
                <w:rFonts w:ascii="Century Gothic" w:hAnsi="Century Gothic" w:cs="Calibri"/>
                <w:color w:val="auto"/>
                <w:sz w:val="16"/>
                <w:szCs w:val="16"/>
              </w:rPr>
              <w:t xml:space="preserve"> </w:t>
            </w:r>
          </w:p>
        </w:tc>
        <w:tc>
          <w:tcPr>
            <w:tcW w:w="4678" w:type="dxa"/>
          </w:tcPr>
          <w:p w:rsidRPr="005F7586" w:rsidR="00B53832" w:rsidP="00B53832" w:rsidRDefault="00B53832" w14:paraId="388D1397" w14:textId="77777777">
            <w:pPr>
              <w:tabs>
                <w:tab w:val="left" w:pos="7513"/>
              </w:tabs>
              <w:rPr>
                <w:rFonts w:ascii="Century Gothic" w:hAnsi="Century Gothic" w:cs="Tahoma"/>
                <w:sz w:val="18"/>
                <w:szCs w:val="18"/>
              </w:rPr>
            </w:pPr>
            <w:r w:rsidRPr="005F7586">
              <w:rPr>
                <w:rFonts w:ascii="Century Gothic" w:hAnsi="Century Gothic" w:cs="Tahoma"/>
                <w:sz w:val="18"/>
                <w:szCs w:val="18"/>
              </w:rPr>
              <w:t>AG2R LA MONDIALE</w:t>
              <w:br/>
              <w:t>CENTRE DE GESTION LA VILLETTE</w:t>
              <w:br/>
              <w:t>170 BOULEVARD DE LA VILLETTE</w:t>
              <w:br/>
              <w:t>75918 PARIS CEDEX 19</w:t>
            </w:r>
          </w:p>
          <w:p w:rsidRPr="005F7586" w:rsidR="008C590F" w:rsidP="00CD027A" w:rsidRDefault="008C590F" w14:paraId="794BDC5B" w14:textId="77777777">
            <w:pPr>
              <w:pStyle w:val="TextecourantFIDES"/>
              <w:rPr>
                <w:rFonts w:ascii="Century Gothic" w:hAnsi="Century Gothic"/>
                <w:color w:val="auto"/>
                <w:sz w:val="18"/>
                <w:szCs w:val="18"/>
              </w:rPr>
            </w:pPr>
          </w:p>
        </w:tc>
      </w:tr>
    </w:tbl>
    <w:p w:rsidRPr="005F7586" w:rsidR="008C590F" w:rsidP="008C590F" w:rsidRDefault="008C590F" w14:paraId="4B08A277" w14:textId="77777777">
      <w:pPr>
        <w:pStyle w:val="TextecourantFIDES"/>
        <w:tabs>
          <w:tab w:val="left" w:pos="5954"/>
        </w:tabs>
        <w:rPr>
          <w:rFonts w:ascii="Century Gothic" w:hAnsi="Century Gothic" w:cstheme="minorBidi"/>
          <w:color w:val="auto"/>
          <w:sz w:val="16"/>
          <w:szCs w:val="16"/>
        </w:rPr>
      </w:pPr>
    </w:p>
    <w:p w:rsidRPr="005F7586" w:rsidR="008C590F" w:rsidP="005F7586" w:rsidRDefault="008C590F" w14:paraId="254D9EF3" w14:textId="77777777">
      <w:pPr>
        <w:pStyle w:val="TextecourantFIDES"/>
        <w:tabs>
          <w:tab w:val="left" w:pos="5954"/>
        </w:tabs>
        <w:ind w:right="282"/>
        <w:jc w:val="right"/>
        <w:rPr>
          <w:rFonts w:ascii="Century Gothic" w:hAnsi="Century Gothic" w:cstheme="minorBidi"/>
          <w:color w:val="auto"/>
          <w:sz w:val="16"/>
          <w:szCs w:val="16"/>
        </w:rPr>
      </w:pPr>
      <w:r w:rsidRPr="005F7586">
        <w:rPr>
          <w:rFonts w:ascii="Century Gothic" w:hAnsi="Century Gothic" w:cstheme="minorBidi"/>
          <w:color w:val="auto"/>
          <w:sz w:val="16"/>
          <w:szCs w:val="16"/>
        </w:rPr>
        <w:t>Palavas les flots, le 15 mars 2023</w:t>
      </w:r>
    </w:p>
    <w:p w:rsidRPr="005F7586" w:rsidR="008C590F" w:rsidP="008C590F" w:rsidRDefault="008C590F" w14:paraId="2DD7A373" w14:textId="77777777">
      <w:pPr>
        <w:pStyle w:val="TextecourantFIDES"/>
        <w:rPr>
          <w:rFonts w:ascii="Century Gothic" w:hAnsi="Century Gothic" w:cs="Calibri"/>
          <w:color w:val="auto"/>
          <w:sz w:val="16"/>
          <w:szCs w:val="16"/>
        </w:rPr>
      </w:pPr>
    </w:p>
    <w:tbl>
      <w:tblPr>
        <w:tblStyle w:val="Grilledutableau"/>
        <w:tblW w:w="0" w:type="auto"/>
        <w:shd w:val="clear" w:color="auto" w:fill="F2F2F2" w:themeFill="background1" w:themeFillShade="F2"/>
        <w:tblLook w:firstRow="1" w:lastRow="0" w:firstColumn="1" w:lastColumn="0" w:noHBand="0" w:noVBand="1" w:val="04A0"/>
      </w:tblPr>
      <w:tblGrid>
        <w:gridCol w:w="10598"/>
      </w:tblGrid>
      <w:tr w:rsidRPr="005F7586" w:rsidR="008C590F" w:rsidTr="00B53832" w14:paraId="38A87429" w14:textId="77777777">
        <w:tc>
          <w:tcPr>
            <w:tcW w:w="10598" w:type="dxa"/>
            <w:shd w:val="clear" w:color="auto" w:fill="F2F2F2" w:themeFill="background1" w:themeFillShade="F2"/>
          </w:tcPr>
          <w:p w:rsidRPr="005F7586" w:rsidR="008C590F" w:rsidP="00CD027A" w:rsidRDefault="008C590F" w14:paraId="44A63E15" w14:textId="1B6711F8">
            <w:pPr>
              <w:jc w:val="both"/>
              <w:rPr>
                <w:rFonts w:ascii="Century Gothic" w:hAnsi="Century Gothic"/>
                <w:b/>
                <w:sz w:val="16"/>
                <w:szCs w:val="16"/>
                <w:lang w:val="en-US"/>
              </w:rPr>
            </w:pPr>
            <w:r w:rsidRPr="005F7586">
              <w:rPr>
                <w:rFonts w:ascii="Century Gothic" w:hAnsi="Century Gothic"/>
                <w:b/>
                <w:sz w:val="16"/>
                <w:szCs w:val="16"/>
                <w:lang w:val="en-US"/>
              </w:rPr>
              <w:t xml:space="preserve">Invitation to lodge a claim. Time limits to be observed. </w:t>
            </w:r>
            <w:r w:rsidRPr="005F7586">
              <w:rPr>
                <w:rFonts w:ascii="Century Gothic" w:hAnsi="Century Gothic"/>
                <w:b/>
                <w:sz w:val="16"/>
                <w:szCs w:val="16"/>
              </w:rPr>
              <w:t xml:space="preserve">Invitation à produire une créance. Délais à respecter.Oproep tot indiening van schuldvorderingen. In acht te nemen termijnen.Invito all'insinuazione di un credito. Termine da asservareAnmodan att an mäla fordran. Tidfrister att iaktta.Kehotus saatavan ilmoittamiseen. Noudatett avat määräjat.Aviso de reclamaçäo de créditos. </w:t>
            </w:r>
            <w:r w:rsidRPr="005F7586">
              <w:rPr>
                <w:rFonts w:ascii="Century Gothic" w:hAnsi="Century Gothic"/>
                <w:b/>
                <w:sz w:val="16"/>
                <w:szCs w:val="16"/>
                <w:lang w:val="en-US"/>
              </w:rPr>
              <w:t>Prazos legais a observar.Auff orderung zur Anmeldung einer Forderung. Etwaige Fristen beachten? Opfordring til anmeldelse affordringer. Væropærksom på fristerne.Convocatoria para la presentación de créditos. Plazos aplicables.</w:t>
            </w:r>
          </w:p>
        </w:tc>
      </w:tr>
    </w:tbl>
    <w:p w:rsidRPr="005F7586" w:rsidR="008C590F" w:rsidP="008C590F" w:rsidRDefault="008C590F" w14:paraId="317D1C24" w14:textId="77777777">
      <w:pPr>
        <w:pStyle w:val="TextecourantFIDES"/>
        <w:rPr>
          <w:rFonts w:ascii="Century Gothic" w:hAnsi="Century Gothic" w:cs="Calibri"/>
          <w:color w:val="auto"/>
          <w:sz w:val="16"/>
          <w:szCs w:val="16"/>
        </w:rPr>
      </w:pPr>
    </w:p>
    <w:p w:rsidRPr="005F7586" w:rsidR="008C590F" w:rsidP="00DB367E" w:rsidRDefault="008C590F" w14:paraId="27AD635A" w14:textId="422C2B72">
      <w:pPr>
        <w:ind w:right="140"/>
        <w:jc w:val="both"/>
        <w:rPr>
          <w:rFonts w:ascii="Century Gothic" w:hAnsi="Century Gothic"/>
          <w:sz w:val="16"/>
          <w:szCs w:val="16"/>
        </w:rPr>
      </w:pPr>
      <w:r w:rsidRPr="005F7586">
        <w:rPr>
          <w:rFonts w:ascii="Century Gothic" w:hAnsi="Century Gothic"/>
          <w:sz w:val="16"/>
          <w:szCs w:val="16"/>
        </w:rPr>
        <w:t>Par jugement en date du</w:t>
      </w:r>
      <w:r w:rsidR="00F86A7D">
        <w:rPr>
          <w:rFonts w:ascii="Century Gothic" w:hAnsi="Century Gothic"/>
          <w:sz w:val="16"/>
          <w:szCs w:val="16"/>
        </w:rPr>
        <w:t xml:space="preserve"> </w:t>
      </w:r>
      <w:r w:rsidRPr="00F86A7D" w:rsidR="00F86A7D">
        <w:rPr>
          <w:rFonts w:ascii="Century Gothic" w:hAnsi="Century Gothic"/>
          <w:sz w:val="16"/>
          <w:szCs w:val="16"/>
        </w:rPr>
        <w:t>8 mars 2023</w:t>
      </w:r>
      <w:r w:rsidRPr="005F7586">
        <w:rPr>
          <w:rFonts w:ascii="Century Gothic" w:hAnsi="Century Gothic"/>
          <w:sz w:val="16"/>
          <w:szCs w:val="16"/>
        </w:rPr>
        <w:t xml:space="preserve">, le Tribunal Judiciaire de Soissons a ouvert une procédure de Liquidation Judiciaire Simplifiée et </w:t>
      </w:r>
      <w:r w:rsidR="00DB367E">
        <w:rPr>
          <w:rFonts w:ascii="Century Gothic" w:hAnsi="Century Gothic"/>
          <w:sz w:val="16"/>
          <w:szCs w:val="16"/>
        </w:rPr>
        <w:t>nous a</w:t>
      </w:r>
      <w:r w:rsidRPr="005F7586">
        <w:rPr>
          <w:rFonts w:ascii="Century Gothic" w:hAnsi="Century Gothic"/>
          <w:sz w:val="16"/>
          <w:szCs w:val="16"/>
        </w:rPr>
        <w:t xml:space="preserve"> désigné en qualité de Liquidateur Judiciaire </w:t>
      </w:r>
      <w:r w:rsidRPr="00DB367E">
        <w:rPr>
          <w:rFonts w:ascii="Century Gothic" w:hAnsi="Century Gothic"/>
          <w:sz w:val="16"/>
          <w:szCs w:val="16"/>
        </w:rPr>
        <w:t>de</w:t>
      </w:r>
      <w:r w:rsidRPr="00DB367E" w:rsidR="00DB367E">
        <w:rPr>
          <w:rFonts w:ascii="Century Gothic" w:hAnsi="Century Gothic"/>
          <w:b/>
          <w:bCs/>
          <w:sz w:val="16"/>
          <w:szCs w:val="16"/>
        </w:rPr>
        <w:t xml:space="preserve"> </w:t>
      </w:r>
      <w:r w:rsidRPr="00613E55" w:rsidR="00DB367E">
        <w:rPr>
          <w:rFonts w:ascii="Century Gothic" w:hAnsi="Century Gothic"/>
          <w:sz w:val="16"/>
          <w:szCs w:val="16"/>
        </w:rPr>
        <w:t>la SARL PASSIF DEBUTANT</w:t>
      </w:r>
      <w:r w:rsidRPr="005F7586">
        <w:rPr>
          <w:rFonts w:ascii="Century Gothic" w:hAnsi="Century Gothic"/>
          <w:sz w:val="16"/>
          <w:szCs w:val="16"/>
        </w:rPr>
        <w:t xml:space="preserve">, sise </w:t>
      </w:r>
      <w:r w:rsidRPr="00EE3306" w:rsidR="00EE3306">
        <w:rPr>
          <w:rFonts w:ascii="Century Gothic" w:hAnsi="Century Gothic"/>
          <w:sz w:val="16"/>
          <w:szCs w:val="16"/>
        </w:rPr>
        <w:t>. - 02200 SOISSONS</w:t>
      </w:r>
      <w:r w:rsidR="00EE3306">
        <w:rPr>
          <w:rFonts w:ascii="Century Gothic" w:hAnsi="Century Gothic"/>
          <w:sz w:val="16"/>
          <w:szCs w:val="16"/>
        </w:rPr>
        <w:t>.</w:t>
      </w:r>
    </w:p>
    <w:p w:rsidRPr="005F7586" w:rsidR="008C590F" w:rsidP="00DB367E" w:rsidRDefault="008C590F" w14:paraId="41C9381B" w14:textId="77777777">
      <w:pPr>
        <w:pStyle w:val="TextecourantFIDES"/>
        <w:ind w:right="140"/>
        <w:jc w:val="both"/>
        <w:rPr>
          <w:rFonts w:ascii="Century Gothic" w:hAnsi="Century Gothic" w:cs="Calibri"/>
          <w:color w:val="auto"/>
          <w:sz w:val="16"/>
          <w:szCs w:val="16"/>
        </w:rPr>
      </w:pPr>
    </w:p>
    <w:p w:rsidR="00F26204" w:rsidP="00727C01" w:rsidRDefault="00F3197C" w14:paraId="31D5C2F4" w14:textId="19FE20A9">
      <w:pPr>
        <w:pStyle w:val="TextecourantFIDES"/>
        <w:ind w:right="140"/>
        <w:rPr>
          <w:rFonts w:ascii="Century Gothic" w:hAnsi="Century Gothic" w:cs="Calibri"/>
          <w:color w:val="auto"/>
          <w:sz w:val="16"/>
          <w:szCs w:val="16"/>
        </w:rPr>
      </w:pPr>
      <w:r w:rsidRPr="00F3197C">
        <w:rPr>
          <w:rFonts w:ascii="Century Gothic" w:hAnsi="Century Gothic" w:cs="Calibri"/>
          <w:color w:val="auto"/>
          <w:sz w:val="16"/>
          <w:szCs w:val="16"/>
          <w:highlight w:val="yellow"/>
        </w:rPr>
        <w:t>Je vous informe qu'en application de l'alinéa 3 de l'article L. 622-24 du Code de commerce, le débiteur SARL PASSIF DEBUTANT a indiqué que vous étiez créancier pour le montant suivant :
</w:t>
        <w:br/>
        <w:t>
</w:t>
        <w:br/>
        <w:t>A titre privilégié : 15 000.00 euros (Privilège Salarial)
</w:t>
        <w:br/>
        <w:t>
</w:t>
        <w:br/>
        <w:t>Toutefois, cette indication ne vous dispense pas de justifier de votre créance et de procéder à une déclaration en bonne et due forme. </w:t>
      </w:r>
    </w:p>
    <w:p w:rsidR="00F3197C" w:rsidP="00DB367E" w:rsidRDefault="00F3197C" w14:paraId="4537ADFD" w14:textId="77777777">
      <w:pPr>
        <w:pStyle w:val="TextecourantFIDES"/>
        <w:ind w:right="140"/>
        <w:jc w:val="both"/>
        <w:rPr>
          <w:rFonts w:ascii="Century Gothic" w:hAnsi="Century Gothic" w:cs="Calibri"/>
          <w:color w:val="auto"/>
          <w:sz w:val="16"/>
          <w:szCs w:val="16"/>
        </w:rPr>
      </w:pPr>
    </w:p>
    <w:p w:rsidR="008C590F" w:rsidP="00DB367E" w:rsidRDefault="00A265C3" w14:paraId="08582D4A" w14:textId="041A9E67">
      <w:pPr>
        <w:pStyle w:val="TextecourantFIDES"/>
        <w:ind w:right="140"/>
        <w:jc w:val="both"/>
        <w:rPr>
          <w:rFonts w:ascii="Century Gothic" w:hAnsi="Century Gothic" w:cs="Calibri"/>
          <w:color w:val="auto"/>
          <w:sz w:val="16"/>
          <w:szCs w:val="16"/>
        </w:rPr>
      </w:pPr>
      <w:r>
        <w:rPr>
          <w:rFonts w:ascii="Century Gothic" w:hAnsi="Century Gothic" w:cs="Calibri"/>
          <w:color w:val="auto"/>
          <w:sz w:val="16"/>
          <w:szCs w:val="16"/>
        </w:rPr>
        <w:t>Nous vous rappelons</w:t>
      </w:r>
      <w:r w:rsidRPr="005F7586" w:rsidR="008C590F">
        <w:rPr>
          <w:rFonts w:ascii="Century Gothic" w:hAnsi="Century Gothic" w:cs="Calibri"/>
          <w:color w:val="auto"/>
          <w:sz w:val="16"/>
          <w:szCs w:val="16"/>
        </w:rPr>
        <w:t xml:space="preserve"> que conformément aux dispositions du Code du Commerce, lorsque le débiteur a porté une créance à la connaissance du mandataire judiciaire, il est présumé avoir agi pour le compte du créancier tant que celui-ci n’a pas adressé sa déclaration de créance.</w:t>
      </w:r>
    </w:p>
    <w:p w:rsidR="003607BB" w:rsidP="00DB367E" w:rsidRDefault="003607BB" w14:paraId="72537912" w14:textId="07589696">
      <w:pPr>
        <w:pStyle w:val="TextecourantFIDES"/>
        <w:ind w:right="140"/>
        <w:jc w:val="both"/>
        <w:rPr>
          <w:rFonts w:ascii="Century Gothic" w:hAnsi="Century Gothic" w:cs="Calibri"/>
          <w:color w:val="auto"/>
          <w:sz w:val="16"/>
          <w:szCs w:val="16"/>
        </w:rPr>
      </w:pPr>
    </w:p>
    <w:p w:rsidR="008C590F" w:rsidP="00DB367E" w:rsidRDefault="007A1C57" w14:paraId="338E5956" w14:textId="7DA615FE">
      <w:pPr>
        <w:pStyle w:val="TextecourantFIDES"/>
        <w:ind w:right="140"/>
        <w:jc w:val="both"/>
        <w:rPr>
          <w:rFonts w:ascii="Century Gothic" w:hAnsi="Century Gothic" w:cs="Calibri"/>
          <w:color w:val="auto"/>
          <w:sz w:val="16"/>
          <w:szCs w:val="16"/>
        </w:rPr>
      </w:pPr>
      <w:r>
        <w:rPr>
          <w:rFonts w:ascii="Century Gothic" w:hAnsi="Century Gothic" w:cs="Calibri"/>
          <w:color w:val="auto"/>
          <w:sz w:val="16"/>
          <w:szCs w:val="16"/>
        </w:rPr>
        <w:t>En</w:t>
      </w:r>
      <w:r w:rsidRPr="005F7586" w:rsidR="008C590F">
        <w:rPr>
          <w:rFonts w:ascii="Century Gothic" w:hAnsi="Century Gothic" w:cs="Calibri"/>
          <w:color w:val="auto"/>
          <w:sz w:val="16"/>
          <w:szCs w:val="16"/>
        </w:rPr>
        <w:t xml:space="preserve"> application des </w:t>
      </w:r>
      <w:r w:rsidRPr="00EC7B17" w:rsidR="00EC7B17">
        <w:rPr>
          <w:rFonts w:ascii="Century Gothic" w:hAnsi="Century Gothic" w:cs="Calibri"/>
          <w:color w:val="auto"/>
          <w:sz w:val="16"/>
          <w:szCs w:val="16"/>
        </w:rPr>
        <w:t>articles L. 641-3 et L. 622-24</w:t>
      </w:r>
      <w:r w:rsidR="00EC7B17">
        <w:rPr>
          <w:rFonts w:ascii="Century Gothic" w:hAnsi="Century Gothic" w:cs="Calibri"/>
          <w:color w:val="auto"/>
          <w:sz w:val="16"/>
          <w:szCs w:val="16"/>
        </w:rPr>
        <w:t xml:space="preserve"> </w:t>
      </w:r>
      <w:r w:rsidRPr="005F7586" w:rsidR="008C590F">
        <w:rPr>
          <w:rFonts w:ascii="Century Gothic" w:hAnsi="Century Gothic" w:cs="Calibri"/>
          <w:color w:val="auto"/>
          <w:sz w:val="16"/>
          <w:szCs w:val="16"/>
        </w:rPr>
        <w:t xml:space="preserve">et L.622-25 ainsi que des articles R.622-21, R.622-22, R.622-23 et R.622-24 du Code de Commerce, </w:t>
      </w:r>
      <w:r w:rsidR="002A454B">
        <w:rPr>
          <w:rFonts w:ascii="Century Gothic" w:hAnsi="Century Gothic" w:cs="Calibri"/>
          <w:color w:val="auto"/>
          <w:sz w:val="16"/>
          <w:szCs w:val="16"/>
        </w:rPr>
        <w:t>nous vous invitons</w:t>
      </w:r>
      <w:r w:rsidRPr="005F7586" w:rsidR="008C590F">
        <w:rPr>
          <w:rFonts w:ascii="Century Gothic" w:hAnsi="Century Gothic" w:cs="Calibri"/>
          <w:color w:val="auto"/>
          <w:sz w:val="16"/>
          <w:szCs w:val="16"/>
        </w:rPr>
        <w:t xml:space="preserve"> </w:t>
      </w:r>
      <w:r w:rsidR="002A454B">
        <w:rPr>
          <w:rFonts w:ascii="Century Gothic" w:hAnsi="Century Gothic" w:cs="Calibri"/>
          <w:color w:val="auto"/>
          <w:sz w:val="16"/>
          <w:szCs w:val="16"/>
        </w:rPr>
        <w:t>à nous adresser</w:t>
      </w:r>
      <w:r w:rsidRPr="005F7586" w:rsidR="008C590F">
        <w:rPr>
          <w:rFonts w:ascii="Century Gothic" w:hAnsi="Century Gothic" w:cs="Calibri"/>
          <w:color w:val="auto"/>
          <w:sz w:val="16"/>
          <w:szCs w:val="16"/>
        </w:rPr>
        <w:t xml:space="preserve"> votre déclaration de </w:t>
      </w:r>
      <w:r w:rsidRPr="005F7586" w:rsidR="008C590F">
        <w:rPr>
          <w:rFonts w:ascii="Century Gothic" w:hAnsi="Century Gothic" w:cstheme="majorHAnsi"/>
          <w:color w:val="auto"/>
          <w:sz w:val="16"/>
          <w:szCs w:val="16"/>
        </w:rPr>
        <w:t xml:space="preserve">créances </w:t>
      </w:r>
      <w:r w:rsidRPr="005F7586" w:rsidR="008C590F">
        <w:rPr>
          <w:rFonts w:ascii="Century Gothic" w:hAnsi="Century Gothic" w:eastAsia="Times New Roman" w:cstheme="majorHAnsi"/>
          <w:b/>
          <w:color w:val="auto"/>
          <w:sz w:val="16"/>
          <w:szCs w:val="16"/>
          <w:lang w:eastAsia="fr-FR"/>
        </w:rPr>
        <w:t>sur le formulaire de déclaration en ligne</w:t>
      </w:r>
      <w:r w:rsidR="0091249F">
        <w:rPr>
          <w:rFonts w:ascii="Century Gothic" w:hAnsi="Century Gothic" w:eastAsia="Times New Roman" w:cstheme="majorHAnsi"/>
          <w:b/>
          <w:color w:val="auto"/>
          <w:sz w:val="16"/>
          <w:szCs w:val="16"/>
          <w:lang w:eastAsia="fr-FR"/>
        </w:rPr>
        <w:t xml:space="preserve"> du site </w:t>
      </w:r>
      <w:r w:rsidRPr="004D5021" w:rsidR="0091249F">
        <w:rPr>
          <w:rFonts w:ascii="Century Gothic" w:hAnsi="Century Gothic"/>
          <w:b/>
          <w:bCs/>
          <w:i/>
          <w:iCs/>
          <w:sz w:val="16"/>
          <w:szCs w:val="16"/>
        </w:rPr>
        <w:t>https://jr2020.gemweb.fr/</w:t>
      </w:r>
      <w:r w:rsidRPr="005F7586" w:rsidR="008C590F">
        <w:rPr>
          <w:rFonts w:ascii="Century Gothic" w:hAnsi="Century Gothic" w:eastAsia="Times New Roman" w:cstheme="majorHAnsi"/>
          <w:b/>
          <w:i/>
          <w:color w:val="0B2E91"/>
          <w:sz w:val="16"/>
          <w:szCs w:val="16"/>
          <w:lang w:eastAsia="fr-FR"/>
        </w:rPr>
        <w:t xml:space="preserve">, </w:t>
      </w:r>
      <w:r w:rsidRPr="005F7586" w:rsidR="008C590F">
        <w:rPr>
          <w:rFonts w:ascii="Century Gothic" w:hAnsi="Century Gothic" w:eastAsia="Times New Roman" w:cstheme="majorHAnsi"/>
          <w:color w:val="auto"/>
          <w:sz w:val="16"/>
          <w:szCs w:val="16"/>
          <w:lang w:eastAsia="fr-FR"/>
        </w:rPr>
        <w:t>ou par courrier</w:t>
      </w:r>
      <w:r w:rsidR="002A454B">
        <w:rPr>
          <w:rFonts w:ascii="Century Gothic" w:hAnsi="Century Gothic" w:eastAsia="Times New Roman" w:cstheme="majorHAnsi"/>
          <w:color w:val="auto"/>
          <w:sz w:val="16"/>
          <w:szCs w:val="16"/>
          <w:lang w:eastAsia="fr-FR"/>
        </w:rPr>
        <w:t xml:space="preserve"> postal</w:t>
      </w:r>
      <w:r w:rsidRPr="005F7586" w:rsidR="008C590F">
        <w:rPr>
          <w:rFonts w:ascii="Century Gothic" w:hAnsi="Century Gothic" w:eastAsia="Times New Roman" w:cstheme="majorHAnsi"/>
          <w:b/>
          <w:i/>
          <w:color w:val="0B2E91"/>
          <w:sz w:val="16"/>
          <w:szCs w:val="16"/>
          <w:lang w:eastAsia="fr-FR"/>
        </w:rPr>
        <w:t>,</w:t>
      </w:r>
      <w:r w:rsidRPr="005F7586" w:rsidR="008C590F">
        <w:rPr>
          <w:rFonts w:ascii="Century Gothic" w:hAnsi="Century Gothic" w:eastAsia="Times New Roman" w:cs="Times New Roman"/>
          <w:b/>
          <w:i/>
          <w:color w:val="0B2E91"/>
          <w:sz w:val="18"/>
          <w:szCs w:val="18"/>
          <w:lang w:eastAsia="fr-FR"/>
        </w:rPr>
        <w:t xml:space="preserve"> </w:t>
      </w:r>
      <w:r w:rsidRPr="005F7586" w:rsidR="008C590F">
        <w:rPr>
          <w:rFonts w:ascii="Century Gothic" w:hAnsi="Century Gothic" w:cs="Calibri"/>
          <w:color w:val="auto"/>
          <w:sz w:val="16"/>
          <w:szCs w:val="16"/>
        </w:rPr>
        <w:t>dans le délai de 2 MOIS (augmenté de 2 mois pour les créanciers hors de France métropolitaine) à compter de la publication du jugement d’ouverture de la procédure de Liquidation Judiciaire Simplifiée au BODACC.</w:t>
      </w:r>
    </w:p>
    <w:p w:rsidR="003607BB" w:rsidP="00DB367E" w:rsidRDefault="003607BB" w14:paraId="77510CA5" w14:textId="7B5F11A5">
      <w:pPr>
        <w:pStyle w:val="TextecourantFIDES"/>
        <w:ind w:right="140"/>
        <w:jc w:val="both"/>
        <w:rPr>
          <w:rFonts w:ascii="Century Gothic" w:hAnsi="Century Gothic" w:cs="Calibri"/>
          <w:color w:val="auto"/>
          <w:sz w:val="16"/>
          <w:szCs w:val="16"/>
        </w:rPr>
      </w:pPr>
    </w:p>
    <w:p w:rsidR="005671BF" w:rsidP="00727C01" w:rsidRDefault="009E0305" w14:paraId="061494DF" w14:textId="3FCBAEE6">
      <w:pPr>
        <w:pStyle w:val="TextecourantFIDES"/>
        <w:ind w:right="140"/>
        <w:rPr>
          <w:rFonts w:ascii="Century Gothic" w:hAnsi="Century Gothic" w:cs="Calibri"/>
          <w:color w:val="auto"/>
          <w:sz w:val="16"/>
          <w:szCs w:val="16"/>
        </w:rPr>
      </w:pPr>
      <w:r w:rsidRPr="00532C5A">
        <w:rPr>
          <w:rFonts w:ascii="Century Gothic" w:hAnsi="Century Gothic" w:cs="Calibri"/>
          <w:color w:val="auto"/>
          <w:sz w:val="16"/>
          <w:szCs w:val="16"/>
          <w:highlight w:val="yellow"/>
        </w:rPr>
        <w:t/>
      </w:r>
    </w:p>
    <w:p w:rsidRPr="005F7586" w:rsidR="009E0305" w:rsidP="00DB367E" w:rsidRDefault="009E0305" w14:paraId="0401890C" w14:textId="77777777">
      <w:pPr>
        <w:pStyle w:val="TextecourantFIDES"/>
        <w:ind w:right="140"/>
        <w:jc w:val="both"/>
        <w:rPr>
          <w:rFonts w:ascii="Century Gothic" w:hAnsi="Century Gothic" w:cs="Calibri"/>
          <w:color w:val="auto"/>
          <w:sz w:val="16"/>
          <w:szCs w:val="16"/>
        </w:rPr>
      </w:pPr>
    </w:p>
    <w:p w:rsidRPr="005F7586" w:rsidR="008C590F" w:rsidP="00DB367E" w:rsidRDefault="008C590F" w14:paraId="3EF6410B" w14:textId="77777777">
      <w:pPr>
        <w:pStyle w:val="TextecourantFIDES"/>
        <w:ind w:right="140"/>
        <w:jc w:val="both"/>
        <w:rPr>
          <w:rFonts w:ascii="Century Gothic" w:hAnsi="Century Gothic" w:cs="Calibri"/>
          <w:color w:val="auto"/>
          <w:sz w:val="16"/>
          <w:szCs w:val="16"/>
        </w:rPr>
      </w:pPr>
      <w:r w:rsidRPr="005F7586">
        <w:rPr>
          <w:rFonts w:ascii="Century Gothic" w:hAnsi="Century Gothic" w:cs="Calibri"/>
          <w:color w:val="auto"/>
          <w:sz w:val="16"/>
          <w:szCs w:val="16"/>
        </w:rPr>
        <w:t>A défaut de déclaration dans ce délai, votre créance sera retenue pour le montant déclaré par le débiteur, et toute somme complémentaire sera atteinte par la forclusion visée aux articles L.622-26 et R.622-25 du Code de Commerce.</w:t>
      </w:r>
    </w:p>
    <w:p w:rsidRPr="005F7586" w:rsidR="008C590F" w:rsidP="00DB367E" w:rsidRDefault="008C590F" w14:paraId="082A1426" w14:textId="77777777">
      <w:pPr>
        <w:pStyle w:val="TextecourantFIDES"/>
        <w:ind w:right="140"/>
        <w:jc w:val="both"/>
        <w:rPr>
          <w:rFonts w:ascii="Century Gothic" w:hAnsi="Century Gothic" w:cs="Calibri"/>
          <w:color w:val="auto"/>
          <w:sz w:val="16"/>
          <w:szCs w:val="16"/>
        </w:rPr>
      </w:pPr>
    </w:p>
    <w:p w:rsidRPr="005F7586" w:rsidR="008C590F" w:rsidP="00DB367E" w:rsidRDefault="008C590F" w14:paraId="51539E6A" w14:textId="77777777">
      <w:pPr>
        <w:pStyle w:val="TextecourantFIDES"/>
        <w:ind w:right="140"/>
        <w:jc w:val="both"/>
        <w:rPr>
          <w:rFonts w:ascii="Century Gothic" w:hAnsi="Century Gothic" w:cs="Calibri"/>
          <w:color w:val="auto"/>
          <w:sz w:val="16"/>
          <w:szCs w:val="16"/>
        </w:rPr>
      </w:pPr>
      <w:r w:rsidRPr="005F7586">
        <w:rPr>
          <w:rFonts w:ascii="Century Gothic" w:hAnsi="Century Gothic" w:cs="Calibri"/>
          <w:color w:val="auto"/>
          <w:sz w:val="16"/>
          <w:szCs w:val="16"/>
        </w:rPr>
        <w:t>Vous trouverez ci-après, conformément aux dispositions de l’article R. 622-21 du Code du Commerce, les textes de références qui vous permettront d’établir votre déclaration, étant notamment précisé que :</w:t>
      </w:r>
    </w:p>
    <w:p w:rsidRPr="005F7586" w:rsidR="008C590F" w:rsidP="00DB367E" w:rsidRDefault="008C590F" w14:paraId="0FF13395" w14:textId="77777777">
      <w:pPr>
        <w:pStyle w:val="TextecourantFIDES"/>
        <w:ind w:right="140"/>
        <w:jc w:val="both"/>
        <w:rPr>
          <w:rFonts w:ascii="Century Gothic" w:hAnsi="Century Gothic" w:cs="Calibri"/>
          <w:color w:val="auto"/>
          <w:sz w:val="16"/>
          <w:szCs w:val="16"/>
        </w:rPr>
      </w:pPr>
    </w:p>
    <w:p w:rsidRPr="005F7586" w:rsidR="008C590F" w:rsidP="007A1C57" w:rsidRDefault="008C590F" w14:paraId="3354A443" w14:textId="299F8FB0">
      <w:pPr>
        <w:pStyle w:val="TextecourantFIDES"/>
        <w:numPr>
          <w:ilvl w:val="0"/>
          <w:numId w:val="22"/>
        </w:numPr>
        <w:ind w:left="284" w:right="140" w:hanging="284"/>
        <w:jc w:val="both"/>
        <w:rPr>
          <w:rFonts w:ascii="Century Gothic" w:hAnsi="Century Gothic" w:cs="Calibri"/>
          <w:color w:val="auto"/>
          <w:sz w:val="16"/>
          <w:szCs w:val="16"/>
        </w:rPr>
      </w:pPr>
      <w:r w:rsidRPr="005F7586">
        <w:rPr>
          <w:rFonts w:ascii="Century Gothic" w:hAnsi="Century Gothic" w:cs="Calibri"/>
          <w:color w:val="auto"/>
          <w:sz w:val="16"/>
          <w:szCs w:val="16"/>
        </w:rPr>
        <w:t>Outre les indications prévues à l'article du code de commerce, la déclaration de créance chiffrée contient les informations mentionnées à l’article R.622-23 du code de commerce.</w:t>
      </w:r>
    </w:p>
    <w:p w:rsidRPr="005F7586" w:rsidR="008C590F" w:rsidP="007A1C57" w:rsidRDefault="008C590F" w14:paraId="512E5C9B" w14:textId="77777777">
      <w:pPr>
        <w:pStyle w:val="TextecourantFIDES"/>
        <w:numPr>
          <w:ilvl w:val="0"/>
          <w:numId w:val="22"/>
        </w:numPr>
        <w:ind w:left="284" w:right="140" w:hanging="284"/>
        <w:jc w:val="both"/>
        <w:rPr>
          <w:rFonts w:ascii="Century Gothic" w:hAnsi="Century Gothic" w:cs="Calibri"/>
          <w:color w:val="auto"/>
          <w:sz w:val="16"/>
          <w:szCs w:val="16"/>
        </w:rPr>
      </w:pPr>
      <w:r w:rsidRPr="005F7586">
        <w:rPr>
          <w:rFonts w:ascii="Century Gothic" w:hAnsi="Century Gothic" w:cs="Calibri"/>
          <w:color w:val="auto"/>
          <w:sz w:val="16"/>
          <w:szCs w:val="16"/>
        </w:rPr>
        <w:t xml:space="preserve">A cette déclaration sont joints, sous bordereau, les documents justificatifs. </w:t>
      </w:r>
    </w:p>
    <w:p w:rsidRPr="005F7586" w:rsidR="008C590F" w:rsidP="007A1C57" w:rsidRDefault="008C590F" w14:paraId="7AA37DF9" w14:textId="377819EA">
      <w:pPr>
        <w:pStyle w:val="TextecourantFIDES"/>
        <w:numPr>
          <w:ilvl w:val="0"/>
          <w:numId w:val="22"/>
        </w:numPr>
        <w:ind w:left="284" w:right="140" w:hanging="284"/>
        <w:jc w:val="both"/>
        <w:rPr>
          <w:rFonts w:ascii="Century Gothic" w:hAnsi="Century Gothic" w:cs="Calibri"/>
          <w:color w:val="auto"/>
          <w:sz w:val="16"/>
          <w:szCs w:val="16"/>
        </w:rPr>
      </w:pPr>
      <w:r w:rsidRPr="005F7586">
        <w:rPr>
          <w:rFonts w:ascii="Century Gothic" w:hAnsi="Century Gothic" w:cs="Calibri"/>
          <w:color w:val="auto"/>
          <w:sz w:val="16"/>
          <w:szCs w:val="16"/>
        </w:rPr>
        <w:t xml:space="preserve">Les actions en revendication et en restitution d’un bien doivent être exercées dans les conditions figurant au « 2/ </w:t>
      </w:r>
      <w:r w:rsidR="007A1C57">
        <w:rPr>
          <w:rFonts w:ascii="Century Gothic" w:hAnsi="Century Gothic" w:cs="Calibri"/>
          <w:color w:val="auto"/>
          <w:sz w:val="16"/>
          <w:szCs w:val="16"/>
        </w:rPr>
        <w:t xml:space="preserve">Droits du vendeur de meubles et </w:t>
      </w:r>
      <w:r w:rsidR="003A0CE0">
        <w:rPr>
          <w:rFonts w:ascii="Century Gothic" w:hAnsi="Century Gothic" w:cs="Calibri"/>
          <w:color w:val="auto"/>
          <w:sz w:val="16"/>
          <w:szCs w:val="16"/>
        </w:rPr>
        <w:t>revendications</w:t>
      </w:r>
      <w:r w:rsidRPr="005F7586" w:rsidR="003A0CE0">
        <w:rPr>
          <w:rFonts w:ascii="Century Gothic" w:hAnsi="Century Gothic" w:cs="Calibri"/>
          <w:color w:val="auto"/>
          <w:sz w:val="16"/>
          <w:szCs w:val="16"/>
        </w:rPr>
        <w:t>»</w:t>
      </w:r>
      <w:r w:rsidRPr="005F7586">
        <w:rPr>
          <w:rFonts w:ascii="Century Gothic" w:hAnsi="Century Gothic" w:cs="Calibri"/>
          <w:color w:val="auto"/>
          <w:sz w:val="16"/>
          <w:szCs w:val="16"/>
        </w:rPr>
        <w:t xml:space="preserve"> du verso de ce document.</w:t>
      </w:r>
    </w:p>
    <w:p w:rsidRPr="005F7586" w:rsidR="008C590F" w:rsidP="007A1C57" w:rsidRDefault="008C590F" w14:paraId="6D24A739" w14:textId="77777777">
      <w:pPr>
        <w:pStyle w:val="Paragraphedeliste"/>
        <w:numPr>
          <w:ilvl w:val="0"/>
          <w:numId w:val="22"/>
        </w:numPr>
        <w:ind w:left="284" w:right="140" w:hanging="284"/>
        <w:jc w:val="both"/>
        <w:rPr>
          <w:rFonts w:ascii="Century Gothic" w:hAnsi="Century Gothic"/>
          <w:sz w:val="16"/>
          <w:szCs w:val="16"/>
        </w:rPr>
      </w:pPr>
      <w:r w:rsidRPr="005F7586">
        <w:rPr>
          <w:rFonts w:ascii="Century Gothic" w:hAnsi="Century Gothic"/>
          <w:sz w:val="16"/>
          <w:szCs w:val="16"/>
        </w:rPr>
        <w:t xml:space="preserve">Les modalités de désignation des </w:t>
      </w:r>
      <w:r w:rsidRPr="005F7586">
        <w:rPr>
          <w:rFonts w:ascii="Century Gothic" w:hAnsi="Century Gothic"/>
          <w:bCs/>
          <w:sz w:val="16"/>
          <w:szCs w:val="16"/>
        </w:rPr>
        <w:t>créanciers contrôleurs</w:t>
      </w:r>
      <w:r w:rsidRPr="005F7586">
        <w:rPr>
          <w:rFonts w:ascii="Century Gothic" w:hAnsi="Century Gothic"/>
          <w:sz w:val="16"/>
          <w:szCs w:val="16"/>
        </w:rPr>
        <w:t xml:space="preserve"> sont précisées aux articles L.621-10 et R.621-24 du Code de Commerce.</w:t>
      </w:r>
    </w:p>
    <w:p w:rsidRPr="005F7586" w:rsidR="008C590F" w:rsidP="007A1C57" w:rsidRDefault="008C590F" w14:paraId="323039F5" w14:textId="77777777">
      <w:pPr>
        <w:pStyle w:val="Paragraphedeliste"/>
        <w:numPr>
          <w:ilvl w:val="0"/>
          <w:numId w:val="22"/>
        </w:numPr>
        <w:ind w:left="284" w:right="140" w:hanging="284"/>
        <w:jc w:val="both"/>
        <w:rPr>
          <w:rFonts w:ascii="Century Gothic" w:hAnsi="Century Gothic"/>
          <w:sz w:val="16"/>
          <w:szCs w:val="16"/>
        </w:rPr>
      </w:pPr>
      <w:r w:rsidRPr="005F7586">
        <w:rPr>
          <w:rFonts w:ascii="Century Gothic" w:hAnsi="Century Gothic"/>
          <w:sz w:val="16"/>
          <w:szCs w:val="16"/>
          <w:shd w:val="clear" w:color="auto" w:fill="FFFFFF"/>
        </w:rPr>
        <w:t>Les créanciers qui en font la demande par lettre recommandée avec demande d'avis de réception au mandataire judiciaire sont tenus informés par celui-ci des étapes essentielles de la procédure au fur et à mesure du déroulement de celle-ci. (Article R.621-19 du code de commerce</w:t>
      </w:r>
      <w:r w:rsidRPr="005F7586">
        <w:rPr>
          <w:rFonts w:ascii="Century Gothic" w:hAnsi="Century Gothic"/>
          <w:sz w:val="16"/>
          <w:szCs w:val="16"/>
        </w:rPr>
        <w:t>).</w:t>
      </w:r>
    </w:p>
    <w:p w:rsidRPr="007A1C57" w:rsidR="008C590F" w:rsidP="001F69BF" w:rsidRDefault="008C590F" w14:paraId="5E301BC8" w14:textId="4DC98F6F">
      <w:pPr>
        <w:pStyle w:val="Paragraphedeliste"/>
        <w:numPr>
          <w:ilvl w:val="0"/>
          <w:numId w:val="22"/>
        </w:numPr>
        <w:ind w:left="284" w:right="140" w:hanging="284"/>
        <w:jc w:val="both"/>
        <w:rPr>
          <w:rFonts w:ascii="Century Gothic" w:hAnsi="Century Gothic"/>
          <w:bCs/>
          <w:sz w:val="16"/>
          <w:szCs w:val="16"/>
        </w:rPr>
      </w:pPr>
      <w:r w:rsidRPr="007A1C57">
        <w:rPr>
          <w:rFonts w:ascii="Century Gothic" w:hAnsi="Century Gothic"/>
          <w:sz w:val="16"/>
          <w:szCs w:val="16"/>
        </w:rPr>
        <w:t xml:space="preserve">Les déclarations peuvent être adressées par courrier simple ou </w:t>
      </w:r>
      <w:r w:rsidRPr="007A1C57" w:rsidR="007A1C57">
        <w:rPr>
          <w:rFonts w:ascii="Century Gothic" w:hAnsi="Century Gothic"/>
          <w:sz w:val="16"/>
          <w:szCs w:val="16"/>
        </w:rPr>
        <w:t>en recommandé avec accusé de réception.</w:t>
      </w:r>
    </w:p>
    <w:p w:rsidRPr="005F7586" w:rsidR="008C590F" w:rsidP="00DB367E" w:rsidRDefault="008C590F" w14:paraId="76A6A5FD" w14:textId="77777777">
      <w:pPr>
        <w:ind w:right="140"/>
        <w:jc w:val="both"/>
        <w:rPr>
          <w:rFonts w:ascii="Century Gothic" w:hAnsi="Century Gothic"/>
          <w:bCs/>
          <w:sz w:val="16"/>
          <w:szCs w:val="16"/>
        </w:rPr>
      </w:pPr>
    </w:p>
    <w:p w:rsidR="008C590F" w:rsidP="00DB367E" w:rsidRDefault="00645849" w14:paraId="723ACF0C" w14:textId="79455BC3">
      <w:pPr>
        <w:ind w:right="140"/>
        <w:jc w:val="both"/>
        <w:rPr>
          <w:rFonts w:ascii="Century Gothic" w:hAnsi="Century Gothic"/>
          <w:bCs/>
          <w:sz w:val="16"/>
          <w:szCs w:val="16"/>
        </w:rPr>
      </w:pPr>
      <w:r>
        <w:rPr>
          <w:rFonts w:ascii="Century Gothic" w:hAnsi="Century Gothic"/>
          <w:bCs/>
          <w:sz w:val="16"/>
          <w:szCs w:val="16"/>
        </w:rPr>
        <w:t>Nous attirons votre attention</w:t>
      </w:r>
      <w:r w:rsidRPr="005F7586" w:rsidR="008C590F">
        <w:rPr>
          <w:rFonts w:ascii="Century Gothic" w:hAnsi="Century Gothic"/>
          <w:bCs/>
          <w:sz w:val="16"/>
          <w:szCs w:val="16"/>
        </w:rPr>
        <w:t xml:space="preserve"> sur le fait que votre déclaration de créance et</w:t>
      </w:r>
      <w:r w:rsidR="00C10B00">
        <w:rPr>
          <w:rFonts w:ascii="Century Gothic" w:hAnsi="Century Gothic"/>
          <w:bCs/>
          <w:sz w:val="16"/>
          <w:szCs w:val="16"/>
        </w:rPr>
        <w:t xml:space="preserve"> votre éventuelle</w:t>
      </w:r>
      <w:r w:rsidRPr="005F7586" w:rsidR="008C590F">
        <w:rPr>
          <w:rFonts w:ascii="Century Gothic" w:hAnsi="Century Gothic"/>
          <w:bCs/>
          <w:sz w:val="16"/>
          <w:szCs w:val="16"/>
        </w:rPr>
        <w:t xml:space="preserve"> demande de revendication doivent être formulées par plis séparés.</w:t>
      </w:r>
    </w:p>
    <w:p w:rsidR="00AE3C89" w:rsidP="00DB367E" w:rsidRDefault="00AE3C89" w14:paraId="74DE4006" w14:textId="0D4B0D82">
      <w:pPr>
        <w:ind w:right="140"/>
        <w:jc w:val="both"/>
        <w:rPr>
          <w:rFonts w:ascii="Century Gothic" w:hAnsi="Century Gothic"/>
          <w:bCs/>
          <w:sz w:val="16"/>
          <w:szCs w:val="16"/>
        </w:rPr>
      </w:pPr>
    </w:p>
    <w:p w:rsidRPr="005F7586" w:rsidR="00AE3C89" w:rsidP="00DB367E" w:rsidRDefault="00AE3C89" w14:paraId="1351FA4A" w14:textId="2C7BFE1B">
      <w:pPr>
        <w:ind w:right="140"/>
        <w:jc w:val="both"/>
        <w:rPr>
          <w:rFonts w:ascii="Century Gothic" w:hAnsi="Century Gothic"/>
          <w:bCs/>
          <w:sz w:val="16"/>
          <w:szCs w:val="16"/>
        </w:rPr>
      </w:pPr>
      <w:r>
        <w:rPr>
          <w:rFonts w:ascii="Century Gothic" w:hAnsi="Century Gothic"/>
          <w:bCs/>
          <w:sz w:val="16"/>
          <w:szCs w:val="16"/>
        </w:rPr>
        <w:t xml:space="preserve">Veuillez agréer, l’expression de nos salutations </w:t>
      </w:r>
      <w:r w:rsidR="00532C5A">
        <w:rPr>
          <w:rFonts w:ascii="Century Gothic" w:hAnsi="Century Gothic"/>
          <w:bCs/>
          <w:sz w:val="16"/>
          <w:szCs w:val="16"/>
        </w:rPr>
        <w:t>distinguées</w:t>
      </w:r>
      <w:r>
        <w:rPr>
          <w:rFonts w:ascii="Century Gothic" w:hAnsi="Century Gothic"/>
          <w:bCs/>
          <w:sz w:val="16"/>
          <w:szCs w:val="16"/>
        </w:rPr>
        <w:t>.</w:t>
      </w:r>
    </w:p>
    <w:p w:rsidRPr="005F7586" w:rsidR="008C590F" w:rsidP="00DB367E" w:rsidRDefault="008C590F" w14:paraId="5525EE2D" w14:textId="77777777">
      <w:pPr>
        <w:ind w:right="140"/>
        <w:rPr>
          <w:rFonts w:ascii="Century Gothic" w:hAnsi="Century Gothic"/>
          <w:bCs/>
          <w:sz w:val="16"/>
          <w:szCs w:val="16"/>
        </w:rPr>
      </w:pPr>
    </w:p>
    <w:p w:rsidRPr="004D5021" w:rsidR="00EC7B17" w:rsidP="008C590F" w:rsidRDefault="00A265C3" w14:paraId="144C21B4" w14:textId="5D7A3725">
      <w:pPr>
        <w:pBdr>
          <w:top w:val="single" w:color="auto" w:sz="4" w:space="1"/>
          <w:left w:val="single" w:color="auto" w:sz="4" w:space="4"/>
          <w:bottom w:val="single" w:color="auto" w:sz="4" w:space="1"/>
          <w:right w:val="single" w:color="auto" w:sz="4" w:space="1"/>
        </w:pBdr>
        <w:tabs>
          <w:tab w:val="center" w:pos="5499"/>
          <w:tab w:val="left" w:pos="10998"/>
        </w:tabs>
        <w:jc w:val="center"/>
        <w:rPr>
          <w:rFonts w:ascii="Century Gothic" w:hAnsi="Century Gothic"/>
          <w:b/>
          <w:bCs/>
          <w:sz w:val="16"/>
          <w:szCs w:val="16"/>
        </w:rPr>
      </w:pPr>
      <w:r w:rsidRPr="004D5021">
        <w:rPr>
          <w:rFonts w:ascii="Century Gothic" w:hAnsi="Century Gothic"/>
          <w:b/>
          <w:bCs/>
          <w:sz w:val="16"/>
          <w:szCs w:val="16"/>
        </w:rPr>
        <w:t xml:space="preserve">NB : </w:t>
      </w:r>
      <w:r w:rsidR="007012F1">
        <w:rPr>
          <w:rFonts w:ascii="Century Gothic" w:hAnsi="Century Gothic"/>
          <w:b/>
          <w:bCs/>
          <w:sz w:val="16"/>
          <w:szCs w:val="16"/>
        </w:rPr>
        <w:t xml:space="preserve">Pour </w:t>
      </w:r>
      <w:r w:rsidRPr="004D5021">
        <w:rPr>
          <w:rFonts w:ascii="Century Gothic" w:hAnsi="Century Gothic"/>
          <w:b/>
          <w:bCs/>
          <w:sz w:val="16"/>
          <w:szCs w:val="16"/>
        </w:rPr>
        <w:t>déclare</w:t>
      </w:r>
      <w:r w:rsidR="007012F1">
        <w:rPr>
          <w:rFonts w:ascii="Century Gothic" w:hAnsi="Century Gothic"/>
          <w:b/>
          <w:bCs/>
          <w:sz w:val="16"/>
          <w:szCs w:val="16"/>
        </w:rPr>
        <w:t xml:space="preserve">r votre créance en ligne </w:t>
      </w:r>
      <w:r w:rsidRPr="004D5021" w:rsidR="008C590F">
        <w:rPr>
          <w:rFonts w:ascii="Century Gothic" w:hAnsi="Century Gothic"/>
          <w:b/>
          <w:bCs/>
          <w:sz w:val="16"/>
          <w:szCs w:val="16"/>
        </w:rPr>
        <w:t>en vous connectant sur notre site internet</w:t>
      </w:r>
      <w:r w:rsidRPr="004D5021" w:rsidR="00EC7B17">
        <w:rPr>
          <w:rFonts w:ascii="Century Gothic" w:hAnsi="Century Gothic"/>
          <w:b/>
          <w:bCs/>
          <w:sz w:val="16"/>
          <w:szCs w:val="16"/>
        </w:rPr>
        <w:t> </w:t>
      </w:r>
      <w:r w:rsidR="007012F1">
        <w:rPr>
          <w:rFonts w:ascii="Century Gothic" w:hAnsi="Century Gothic"/>
          <w:b/>
          <w:bCs/>
          <w:sz w:val="16"/>
          <w:szCs w:val="16"/>
        </w:rPr>
        <w:t>et pour suivre ultérieurement votre créance</w:t>
      </w:r>
    </w:p>
    <w:p w:rsidRPr="004D5021" w:rsidR="008C590F" w:rsidP="008C590F" w:rsidRDefault="008C590F" w14:paraId="04617444" w14:textId="5AEEC017">
      <w:pPr>
        <w:pBdr>
          <w:top w:val="single" w:color="auto" w:sz="4" w:space="1"/>
          <w:left w:val="single" w:color="auto" w:sz="4" w:space="4"/>
          <w:bottom w:val="single" w:color="auto" w:sz="4" w:space="1"/>
          <w:right w:val="single" w:color="auto" w:sz="4" w:space="1"/>
        </w:pBdr>
        <w:tabs>
          <w:tab w:val="center" w:pos="5499"/>
          <w:tab w:val="left" w:pos="10998"/>
        </w:tabs>
        <w:jc w:val="center"/>
        <w:rPr>
          <w:rFonts w:ascii="Century Gothic" w:hAnsi="Century Gothic"/>
          <w:b/>
          <w:bCs/>
          <w:sz w:val="16"/>
          <w:szCs w:val="16"/>
        </w:rPr>
      </w:pPr>
      <w:r w:rsidRPr="004D5021">
        <w:rPr>
          <w:rFonts w:ascii="Century Gothic" w:hAnsi="Century Gothic"/>
          <w:b/>
          <w:bCs/>
          <w:i/>
          <w:iCs/>
          <w:sz w:val="16"/>
          <w:szCs w:val="16"/>
        </w:rPr>
        <w:t>https://jr2020.gemweb.fr/</w:t>
      </w:r>
      <w:r w:rsidRPr="004D5021">
        <w:rPr>
          <w:rFonts w:ascii="Century Gothic" w:hAnsi="Century Gothic"/>
          <w:b/>
          <w:bCs/>
          <w:sz w:val="16"/>
          <w:szCs w:val="16"/>
        </w:rPr>
        <w:t xml:space="preserve"> rubrique « créancier</w:t>
      </w:r>
      <w:r w:rsidRPr="004D5021" w:rsidR="00212BBD">
        <w:rPr>
          <w:rFonts w:ascii="Century Gothic" w:hAnsi="Century Gothic"/>
          <w:b/>
          <w:bCs/>
          <w:sz w:val="16"/>
          <w:szCs w:val="16"/>
        </w:rPr>
        <w:t> »</w:t>
      </w:r>
    </w:p>
    <w:p w:rsidRPr="004D5021" w:rsidR="00EC7B17" w:rsidP="00EC7B17" w:rsidRDefault="00EC7B17" w14:paraId="51ED1C13" w14:textId="77777777">
      <w:pPr>
        <w:pBdr>
          <w:top w:val="single" w:color="auto" w:sz="4" w:space="1"/>
          <w:left w:val="single" w:color="auto" w:sz="4" w:space="4"/>
          <w:bottom w:val="single" w:color="auto" w:sz="4" w:space="1"/>
          <w:right w:val="single" w:color="auto" w:sz="4" w:space="1"/>
        </w:pBdr>
        <w:tabs>
          <w:tab w:val="center" w:pos="5499"/>
          <w:tab w:val="left" w:pos="10998"/>
        </w:tabs>
        <w:jc w:val="center"/>
        <w:rPr>
          <w:rFonts w:ascii="Century Gothic" w:hAnsi="Century Gothic"/>
          <w:b/>
          <w:bCs/>
          <w:sz w:val="16"/>
          <w:szCs w:val="16"/>
        </w:rPr>
      </w:pPr>
      <w:r w:rsidRPr="004D5021">
        <w:rPr>
          <w:rFonts w:ascii="Century Gothic" w:hAnsi="Century Gothic"/>
          <w:b/>
          <w:bCs/>
          <w:sz w:val="16"/>
          <w:szCs w:val="16"/>
        </w:rPr>
        <w:t>Votre Login 10002609941</w:t>
      </w:r>
    </w:p>
    <w:p w:rsidRPr="004D5021" w:rsidR="00EC7B17" w:rsidP="00EC7B17" w:rsidRDefault="00EC7B17" w14:paraId="55FA0E75" w14:textId="022B3ACF">
      <w:pPr>
        <w:pBdr>
          <w:top w:val="single" w:color="auto" w:sz="4" w:space="1"/>
          <w:left w:val="single" w:color="auto" w:sz="4" w:space="4"/>
          <w:bottom w:val="single" w:color="auto" w:sz="4" w:space="1"/>
          <w:right w:val="single" w:color="auto" w:sz="4" w:space="1"/>
        </w:pBdr>
        <w:tabs>
          <w:tab w:val="center" w:pos="5499"/>
          <w:tab w:val="left" w:pos="10998"/>
        </w:tabs>
        <w:jc w:val="center"/>
        <w:rPr>
          <w:rFonts w:ascii="Century Gothic" w:hAnsi="Century Gothic"/>
          <w:b/>
          <w:bCs/>
          <w:sz w:val="16"/>
          <w:szCs w:val="16"/>
        </w:rPr>
      </w:pPr>
      <w:r w:rsidRPr="004D5021">
        <w:rPr>
          <w:rFonts w:ascii="Century Gothic" w:hAnsi="Century Gothic"/>
          <w:b/>
          <w:bCs/>
          <w:sz w:val="16"/>
          <w:szCs w:val="16"/>
        </w:rPr>
        <w:t>Votre mot de passe : Y1YmMwkT</w:t>
      </w:r>
    </w:p>
    <w:p w:rsidR="008C590F" w:rsidP="008C590F" w:rsidRDefault="008C590F" w14:paraId="29B605DC" w14:textId="504F39D3">
      <w:pPr>
        <w:jc w:val="both"/>
        <w:rPr>
          <w:rFonts w:ascii="Century Gothic" w:hAnsi="Century Gothic" w:eastAsia="Times New Roman" w:cs="Calibri"/>
          <w:sz w:val="16"/>
          <w:szCs w:val="16"/>
        </w:rPr>
      </w:pPr>
    </w:p>
    <w:p w:rsidRPr="005F7586" w:rsidR="008C590F" w:rsidP="00A265C3" w:rsidRDefault="008C590F" w14:paraId="470B8264" w14:textId="0E56FD1C">
      <w:pPr>
        <w:ind w:left="5670" w:firstLine="1"/>
        <w:jc w:val="right"/>
        <w:rPr>
          <w:rFonts w:ascii="Century Gothic" w:hAnsi="Century Gothic" w:eastAsia="Times New Roman" w:cs="Calibri"/>
          <w:sz w:val="16"/>
          <w:szCs w:val="16"/>
        </w:rPr>
      </w:pPr>
      <w:r w:rsidRPr="005F7586">
        <w:rPr>
          <w:rFonts w:ascii="Century Gothic" w:hAnsi="Century Gothic" w:eastAsia="Times New Roman" w:cs="Calibri"/>
          <w:sz w:val="16"/>
          <w:szCs w:val="16"/>
        </w:rPr>
        <w:t>Guy LIGUILI</w:t>
      </w:r>
    </w:p>
    <w:p w:rsidRPr="005F7586" w:rsidR="008C590F" w:rsidP="00A265C3" w:rsidRDefault="008C590F" w14:paraId="3A38C80E" w14:textId="33623862">
      <w:pPr>
        <w:ind w:left="5670" w:firstLine="1"/>
        <w:jc w:val="right"/>
        <w:rPr>
          <w:rFonts w:ascii="Century Gothic" w:hAnsi="Century Gothic" w:eastAsia="Times New Roman" w:cs="Calibri"/>
          <w:sz w:val="16"/>
          <w:szCs w:val="16"/>
        </w:rPr>
      </w:pPr>
      <w:r w:rsidRPr="005F7586">
        <w:rPr>
          <w:rFonts w:ascii="Century Gothic" w:hAnsi="Century Gothic" w:eastAsia="Times New Roman" w:cs="Calibri"/>
          <w:sz w:val="16"/>
          <w:szCs w:val="16"/>
        </w:rPr>
        <w:t>Mandataire Judiciaire</w:t>
      </w:r>
    </w:p>
    <w:p w:rsidR="00454B1E" w:rsidP="00454B1E" w:rsidRDefault="00B94ED3" w14:paraId="1B293EF7" w14:textId="177AA09E">
      <w:pPr>
        <w:pStyle w:val="Corpsdetexte2"/>
        <w:spacing w:after="0" w:line="240" w:lineRule="auto"/>
        <w:ind w:left="720"/>
        <w:jc w:val="center"/>
        <w:rPr>
          <w:rFonts w:ascii="Century Gothic" w:hAnsi="Century Gothic" w:cs="Calibri"/>
          <w:b/>
          <w:szCs w:val="20"/>
        </w:rPr>
      </w:pPr>
      <w:r w:rsidRPr="005F7586">
        <w:rPr>
          <w:rFonts w:ascii="Century Gothic" w:hAnsi="Century Gothic" w:cs="Calibri"/>
          <w:b/>
          <w:szCs w:val="20"/>
        </w:rPr>
        <w:br w:type="page"/>
      </w:r>
      <w:r w:rsidR="008A1F89">
        <w:rPr>
          <w:rFonts w:ascii="Century Gothic" w:hAnsi="Century Gothic" w:cs="Calibri"/>
          <w:b/>
          <w:noProof/>
          <w:szCs w:val="20"/>
          <w:lang w:bidi="ar-SA"/>
        </w:rPr>
        <w:lastRenderedPageBreak/>
        <w:pict w14:anchorId="0BC37A5F">
          <v:shapetype o:spt="202.0" path="m,l,21600r21600,l21600,xe" coordsize="21600,21600" id="_x0000_t202">
            <v:stroke joinstyle="miter"/>
            <v:path gradientshapeok="t" o:connecttype="rect"/>
          </v:shapetype>
          <v:shape type="#_x0000_t202" style="position:absolute;left:0;text-align:left;margin-left:348.55pt;margin-top:-17.8pt;width:193.2pt;height:59pt;z-index:251664384;mso-width-relative:margin;mso-height-relative:margin" id="_x0000_s1035" stroked="f" filled="f">
            <v:textbox>
              <w:txbxContent>
                <w:p w:rsidR="00B94ED3" w:rsidP="00B94ED3" w:rsidRDefault="00B94ED3" w14:paraId="660A1E62" w14:textId="77777777"/>
              </w:txbxContent>
            </v:textbox>
          </v:shape>
        </w:pict>
      </w:r>
    </w:p>
    <w:p w:rsidRPr="005F7586" w:rsidR="00B94ED3" w:rsidP="00454B1E" w:rsidRDefault="00454B1E" w14:paraId="770FFA15" w14:textId="503835F4">
      <w:pPr>
        <w:pStyle w:val="Corpsdetexte2"/>
        <w:spacing w:after="0" w:line="240" w:lineRule="auto"/>
        <w:ind w:left="720" w:hanging="862"/>
        <w:rPr>
          <w:rFonts w:ascii="Century Gothic" w:hAnsi="Century Gothic" w:cs="Calibri"/>
          <w:b/>
          <w:szCs w:val="20"/>
        </w:rPr>
      </w:pPr>
      <w:r>
        <w:rPr>
          <w:rFonts w:ascii="Century Gothic" w:hAnsi="Century Gothic" w:cs="Calibri"/>
          <w:b/>
          <w:szCs w:val="20"/>
        </w:rPr>
        <w:t>AVIS DE DECLARATION DE CREANCES</w:t>
      </w:r>
    </w:p>
    <w:p w:rsidRPr="005F7586" w:rsidR="00B94ED3" w:rsidP="00B94ED3" w:rsidRDefault="00B94ED3" w14:paraId="74853C54" w14:textId="77777777">
      <w:pPr>
        <w:pStyle w:val="Corpsdetexte2"/>
        <w:spacing w:after="0" w:line="240" w:lineRule="auto"/>
        <w:ind w:left="720"/>
        <w:rPr>
          <w:rFonts w:ascii="Century Gothic" w:hAnsi="Century Gothic" w:cs="Calibri"/>
          <w:b/>
          <w:szCs w:val="20"/>
        </w:rPr>
      </w:pPr>
    </w:p>
    <w:p w:rsidRPr="005F7586" w:rsidR="00B94ED3" w:rsidP="00B94ED3" w:rsidRDefault="00B94ED3" w14:paraId="4788E563" w14:textId="77777777">
      <w:pPr>
        <w:pStyle w:val="Corpsdetexte2"/>
        <w:spacing w:after="0" w:line="240" w:lineRule="auto"/>
        <w:jc w:val="both"/>
        <w:rPr>
          <w:rFonts w:ascii="Century Gothic" w:hAnsi="Century Gothic" w:cs="Calibri"/>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163"/>
        <w:gridCol w:w="236"/>
        <w:gridCol w:w="5385"/>
      </w:tblGrid>
      <w:tr w:rsidRPr="000B3D8D" w:rsidR="00B94ED3" w:rsidTr="00CD027A" w14:paraId="60A8F1B5" w14:textId="77777777">
        <w:tc>
          <w:tcPr>
            <w:tcW w:w="5163" w:type="dxa"/>
          </w:tcPr>
          <w:p w:rsidRPr="000B3D8D" w:rsidR="00B94ED3" w:rsidP="00CD027A" w:rsidRDefault="00B94ED3" w14:paraId="69D4D6C3" w14:textId="77777777">
            <w:pPr>
              <w:pStyle w:val="NormalWeb"/>
              <w:keepLines/>
              <w:widowControl w:val="false"/>
              <w:spacing w:after="0" w:afterAutospacing="false"/>
              <w:jc w:val="both"/>
              <w:rPr>
                <w:rFonts w:ascii="Century Gothic" w:hAnsi="Century Gothic" w:cs="Calibri"/>
                <w:b/>
                <w:sz w:val="14"/>
                <w:szCs w:val="14"/>
              </w:rPr>
            </w:pPr>
            <w:r w:rsidRPr="000B3D8D">
              <w:rPr>
                <w:rFonts w:ascii="Century Gothic" w:hAnsi="Century Gothic" w:cs="Calibri"/>
                <w:b/>
                <w:sz w:val="14"/>
                <w:szCs w:val="14"/>
                <w:u w:val="single"/>
              </w:rPr>
              <w:t>Déclaration de créances antérieures</w:t>
            </w:r>
            <w:r w:rsidRPr="000B3D8D">
              <w:rPr>
                <w:rFonts w:ascii="Century Gothic" w:hAnsi="Century Gothic" w:cs="Calibri"/>
                <w:b/>
                <w:sz w:val="14"/>
                <w:szCs w:val="14"/>
              </w:rPr>
              <w:t> :</w:t>
            </w:r>
          </w:p>
          <w:p w:rsidRPr="000B3D8D" w:rsidR="00B94ED3" w:rsidP="00CD027A" w:rsidRDefault="00B94ED3" w14:paraId="253FE1D7" w14:textId="583F9BA9">
            <w:pPr>
              <w:pStyle w:val="NormalWeb"/>
              <w:keepLines/>
              <w:widowControl w:val="false"/>
              <w:spacing w:after="0" w:afterAutospacing="false"/>
              <w:jc w:val="both"/>
              <w:rPr>
                <w:rFonts w:ascii="Century Gothic" w:hAnsi="Century Gothic" w:cs="Calibri"/>
                <w:sz w:val="14"/>
                <w:szCs w:val="14"/>
              </w:rPr>
            </w:pPr>
            <w:r w:rsidRPr="000B3D8D">
              <w:rPr>
                <w:rFonts w:ascii="Century Gothic" w:hAnsi="Century Gothic" w:cs="Calibri"/>
                <w:b/>
                <w:sz w:val="14"/>
                <w:szCs w:val="14"/>
              </w:rPr>
              <w:t>Article L.622-24</w:t>
            </w:r>
            <w:r w:rsidRPr="000B3D8D">
              <w:rPr>
                <w:rFonts w:ascii="Century Gothic" w:hAnsi="Century Gothic" w:cs="Calibri"/>
                <w:sz w:val="14"/>
                <w:szCs w:val="14"/>
              </w:rPr>
              <w:t xml:space="preserve"> : A partir de la publication du jugement, tous les créanciers dont la créance est née antérieurement au jugement d'ouverture, à </w:t>
            </w:r>
            <w:r w:rsidRPr="000B3D8D" w:rsidR="00C82FE1">
              <w:rPr>
                <w:rFonts w:ascii="Century Gothic" w:hAnsi="Century Gothic" w:cs="Calibri"/>
                <w:sz w:val="14"/>
                <w:szCs w:val="14"/>
              </w:rPr>
              <w:t>l’exception des</w:t>
            </w:r>
            <w:r w:rsidRPr="000B3D8D">
              <w:rPr>
                <w:rFonts w:ascii="Century Gothic" w:hAnsi="Century Gothic" w:cs="Calibri"/>
                <w:sz w:val="14"/>
                <w:szCs w:val="14"/>
              </w:rPr>
              <w:t xml:space="preserve"> salariés, adressent la déclaration de leurs créances au mandataire judiciaire. Les créanciers titulaires d'une sûreté publiée ou liés au débiteur par un contrat publié sont avertis personnellement ou, s'il y a lieu, à domicile élu. Le délai de déclaration court à l'égard de ceux-ci à compter de la notification de cet avertissement. </w:t>
            </w:r>
          </w:p>
          <w:p w:rsidRPr="000B3D8D" w:rsidR="00B94ED3" w:rsidP="00CD027A" w:rsidRDefault="00B94ED3" w14:paraId="1EC7B745" w14:textId="77777777">
            <w:pPr>
              <w:pStyle w:val="NormalWeb"/>
              <w:spacing w:before="0" w:beforeAutospacing="false" w:after="0" w:afterAutospacing="false"/>
              <w:jc w:val="both"/>
              <w:rPr>
                <w:rFonts w:ascii="Century Gothic" w:hAnsi="Century Gothic" w:cs="Calibri"/>
                <w:sz w:val="14"/>
                <w:szCs w:val="14"/>
              </w:rPr>
            </w:pPr>
            <w:r w:rsidRPr="000B3D8D">
              <w:rPr>
                <w:rFonts w:ascii="Century Gothic" w:hAnsi="Century Gothic" w:cs="Calibri"/>
                <w:sz w:val="14"/>
                <w:szCs w:val="14"/>
              </w:rPr>
              <w:t>La déclaration des créances peut être faite par le créancier ou par tout préposé ou mandataire de son choix. La déclaration des créances doit être faite alors même qu'elles ne sont pas établies par un titre.</w:t>
            </w:r>
            <w:r w:rsidRPr="000B3D8D">
              <w:rPr>
                <w:rFonts w:ascii="Century Gothic" w:hAnsi="Century Gothic"/>
                <w:sz w:val="14"/>
                <w:szCs w:val="14"/>
                <w:lang w:bidi="hi-IN"/>
              </w:rPr>
              <w:t xml:space="preserve"> </w:t>
            </w:r>
            <w:r w:rsidRPr="000B3D8D">
              <w:rPr>
                <w:rFonts w:ascii="Century Gothic" w:hAnsi="Century Gothic" w:cs="Calibri"/>
                <w:sz w:val="14"/>
                <w:szCs w:val="14"/>
              </w:rPr>
              <w:t>Celles dont le montant n'est pas encore définitivement fixé sont déclarées sur la base d'une évaluation.</w:t>
            </w:r>
          </w:p>
          <w:p w:rsidRPr="000B3D8D" w:rsidR="00B94ED3" w:rsidP="00CD027A" w:rsidRDefault="00B94ED3" w14:paraId="6ECE9473" w14:textId="77777777">
            <w:pPr>
              <w:pStyle w:val="NormalWeb"/>
              <w:spacing w:before="0" w:beforeAutospacing="false" w:after="0" w:afterAutospacing="false"/>
              <w:jc w:val="both"/>
              <w:rPr>
                <w:rFonts w:ascii="Century Gothic" w:hAnsi="Century Gothic" w:cs="Calibri"/>
                <w:sz w:val="14"/>
                <w:szCs w:val="14"/>
              </w:rPr>
            </w:pPr>
            <w:r w:rsidRPr="000B3D8D">
              <w:rPr>
                <w:rFonts w:ascii="Century Gothic" w:hAnsi="Century Gothic" w:cs="Calibri"/>
                <w:b/>
                <w:sz w:val="14"/>
                <w:szCs w:val="14"/>
              </w:rPr>
              <w:t>Article R.622-21</w:t>
            </w:r>
            <w:r w:rsidRPr="000B3D8D">
              <w:rPr>
                <w:rFonts w:ascii="Century Gothic" w:hAnsi="Century Gothic" w:cs="Calibri"/>
                <w:sz w:val="14"/>
                <w:szCs w:val="14"/>
              </w:rPr>
              <w:t xml:space="preserve"> : Le mandataire judiciaire, dans le délai de quinze jours à compter du jugement d'ouverture, avertit les créanciers connus d'avoir à lui déclarer leurs créances dans le délai mentionné à l'article </w:t>
            </w:r>
            <w:r w:rsidRPr="000B3D8D">
              <w:rPr>
                <w:rFonts w:ascii="Century Gothic" w:hAnsi="Century Gothic" w:cs="Calibri"/>
                <w:sz w:val="14"/>
                <w:szCs w:val="14"/>
                <w:bdr w:val="single" w:color="FFFFFF" w:sz="6" w:space="0" w:frame="true"/>
              </w:rPr>
              <w:t xml:space="preserve">R. 622-24. </w:t>
            </w:r>
            <w:r w:rsidRPr="000B3D8D">
              <w:rPr>
                <w:rFonts w:ascii="Century Gothic" w:hAnsi="Century Gothic" w:cs="Calibri"/>
                <w:sz w:val="14"/>
                <w:szCs w:val="14"/>
              </w:rPr>
              <w:br/>
              <w:t xml:space="preserve">Les cocontractants mentionnés aux articles </w:t>
            </w:r>
            <w:r w:rsidRPr="000B3D8D">
              <w:rPr>
                <w:rFonts w:ascii="Century Gothic" w:hAnsi="Century Gothic" w:cs="Calibri"/>
                <w:sz w:val="14"/>
                <w:szCs w:val="14"/>
                <w:bdr w:val="single" w:color="FFFFFF" w:sz="6" w:space="0" w:frame="true"/>
              </w:rPr>
              <w:t xml:space="preserve">L. 622-13 </w:t>
            </w:r>
            <w:r w:rsidRPr="000B3D8D">
              <w:rPr>
                <w:rFonts w:ascii="Century Gothic" w:hAnsi="Century Gothic" w:cs="Calibri"/>
                <w:sz w:val="14"/>
                <w:szCs w:val="14"/>
              </w:rPr>
              <w:t>et L. 622-14 bénéficient d'un délai d'un mois à compter de la date de la résiliation de plein droit ou de la notification de la décision prononçant la résiliation pour déclarer au passif la créance résultant de cette résiliation. Il en est de même des créanciers d'indemnités et pénalités mentionnées au 2° du III de l'article L. 622-17 en cas de résiliation d'un contrat régulièrement poursuivi.</w:t>
            </w:r>
          </w:p>
          <w:p w:rsidRPr="000B3D8D" w:rsidR="00B94ED3" w:rsidP="00CD027A" w:rsidRDefault="00B94ED3" w14:paraId="0621FD70" w14:textId="77777777">
            <w:pPr>
              <w:pStyle w:val="Corpsdetexte2"/>
              <w:spacing w:after="0" w:line="240" w:lineRule="auto"/>
              <w:jc w:val="both"/>
              <w:rPr>
                <w:rFonts w:ascii="Century Gothic" w:hAnsi="Century Gothic" w:cs="Calibri"/>
                <w:sz w:val="14"/>
                <w:szCs w:val="14"/>
              </w:rPr>
            </w:pPr>
            <w:r w:rsidRPr="000B3D8D">
              <w:rPr>
                <w:rFonts w:ascii="Century Gothic" w:hAnsi="Century Gothic" w:cs="Calibri"/>
                <w:b/>
                <w:sz w:val="14"/>
                <w:szCs w:val="14"/>
              </w:rPr>
              <w:t>Article L.622-26</w:t>
            </w:r>
            <w:r w:rsidRPr="000B3D8D">
              <w:rPr>
                <w:rFonts w:ascii="Century Gothic" w:hAnsi="Century Gothic" w:cs="Calibri"/>
                <w:sz w:val="14"/>
                <w:szCs w:val="14"/>
              </w:rPr>
              <w:t xml:space="preserve"> : A défaut de déclaration dans les délais prévus à l'article </w:t>
            </w:r>
            <w:r w:rsidRPr="000B3D8D">
              <w:rPr>
                <w:rFonts w:ascii="Century Gothic" w:hAnsi="Century Gothic" w:cs="Calibri"/>
                <w:sz w:val="14"/>
                <w:szCs w:val="14"/>
                <w:bdr w:val="single" w:color="FFFFFF" w:sz="6" w:space="0" w:frame="true"/>
              </w:rPr>
              <w:t>L. 622-24</w:t>
            </w:r>
            <w:r w:rsidRPr="000B3D8D">
              <w:rPr>
                <w:rFonts w:ascii="Century Gothic" w:hAnsi="Century Gothic" w:cs="Calibri"/>
                <w:sz w:val="14"/>
                <w:szCs w:val="14"/>
              </w:rPr>
              <w:t xml:space="preserve">, les créanciers ne sont pas admis dans les répartitions et les dividendes à moins que le juge-commissaire ne les relève de leur forclusion s'ils établissent que leur défaillance n'est pas due à leur fait ou qu'elle est due à une omission volontaire du débiteur lors de l'établissement de la liste prévue au deuxième alinéa de l'article L. 622-6. Ils ne peuvent alors concourir que pour les distributions postérieures à leur demande. </w:t>
            </w:r>
          </w:p>
          <w:p w:rsidRPr="000B3D8D" w:rsidR="00B94ED3" w:rsidP="00CD027A" w:rsidRDefault="00B94ED3" w14:paraId="61045653" w14:textId="7792A73F">
            <w:pPr>
              <w:pStyle w:val="Corpsdetexte2"/>
              <w:spacing w:after="0" w:line="240" w:lineRule="auto"/>
              <w:jc w:val="both"/>
              <w:rPr>
                <w:rFonts w:ascii="Century Gothic" w:hAnsi="Century Gothic" w:cs="Calibri"/>
                <w:sz w:val="14"/>
                <w:szCs w:val="14"/>
              </w:rPr>
            </w:pPr>
            <w:r w:rsidRPr="000B3D8D">
              <w:rPr>
                <w:rFonts w:ascii="Century Gothic" w:hAnsi="Century Gothic" w:cs="Calibri"/>
                <w:sz w:val="14"/>
                <w:szCs w:val="14"/>
              </w:rPr>
              <w:t>L'action en relevé de forclusion ne peut être exercée que dans le délai de six mois. Ce délai court à compter de la publication du jugement d'ouverture ou, pour les institutions mentionnées à l'</w:t>
            </w:r>
            <w:r w:rsidRPr="000B3D8D">
              <w:rPr>
                <w:rFonts w:ascii="Century Gothic" w:hAnsi="Century Gothic" w:cs="Calibri"/>
                <w:sz w:val="14"/>
                <w:szCs w:val="14"/>
                <w:bdr w:val="single" w:color="FFFFFF" w:sz="6" w:space="0" w:frame="true"/>
              </w:rPr>
              <w:t>article L. 143-11-4 du code du travail</w:t>
            </w:r>
            <w:r w:rsidRPr="000B3D8D">
              <w:rPr>
                <w:rFonts w:ascii="Century Gothic" w:hAnsi="Century Gothic" w:cs="Calibri"/>
                <w:sz w:val="14"/>
                <w:szCs w:val="14"/>
              </w:rPr>
              <w:t xml:space="preserve">, de l'expiration du délai pendant lequel les créances résultant du contrat de travail sont garanties par ces institutions. Pour les créanciers titulaires d'une sûreté publiée ou liés au débiteur par un contrat publié, il court à compter de la réception de l'avis qui leur est donné. Par exception, le délai est porté à un an pour les créanciers placés dans l'impossibilité de connaître l'existence de leur créance avant l'expiration du délai de </w:t>
            </w:r>
            <w:r w:rsidRPr="000B3D8D" w:rsidR="004A23A0">
              <w:rPr>
                <w:rFonts w:ascii="Century Gothic" w:hAnsi="Century Gothic" w:cs="Calibri"/>
                <w:sz w:val="14"/>
                <w:szCs w:val="14"/>
              </w:rPr>
              <w:t>six mois précité</w:t>
            </w:r>
            <w:r w:rsidR="004A23A0">
              <w:rPr>
                <w:rFonts w:ascii="Century Gothic" w:hAnsi="Century Gothic" w:cs="Calibri"/>
                <w:sz w:val="14"/>
                <w:szCs w:val="14"/>
              </w:rPr>
              <w:t>.</w:t>
            </w:r>
          </w:p>
          <w:p w:rsidRPr="000B3D8D" w:rsidR="00B94ED3" w:rsidP="00CD027A" w:rsidRDefault="00B94ED3" w14:paraId="7E70A788" w14:textId="77777777">
            <w:pPr>
              <w:pStyle w:val="Corpsdetexte2"/>
              <w:spacing w:after="0" w:line="240" w:lineRule="auto"/>
              <w:jc w:val="both"/>
              <w:rPr>
                <w:rFonts w:ascii="Century Gothic" w:hAnsi="Century Gothic" w:cs="Calibri"/>
                <w:sz w:val="14"/>
                <w:szCs w:val="14"/>
              </w:rPr>
            </w:pPr>
            <w:r w:rsidRPr="000B3D8D">
              <w:rPr>
                <w:rFonts w:ascii="Century Gothic" w:hAnsi="Century Gothic" w:cs="Calibri"/>
                <w:b/>
                <w:sz w:val="14"/>
                <w:szCs w:val="14"/>
              </w:rPr>
              <w:t>Article R622-24</w:t>
            </w:r>
            <w:r w:rsidRPr="000B3D8D">
              <w:rPr>
                <w:rFonts w:ascii="Century Gothic" w:hAnsi="Century Gothic" w:cs="Calibri"/>
                <w:sz w:val="14"/>
                <w:szCs w:val="14"/>
              </w:rPr>
              <w:t> : Le délai de déclaration fixé en application de l'article L. 622-26 est de deux mois à compter de la publication du jugement d'ouverture au Bulletin officiel des annonces civiles et commerciales.</w:t>
            </w:r>
            <w:r w:rsidRPr="000B3D8D">
              <w:rPr>
                <w:rFonts w:ascii="Century Gothic" w:hAnsi="Century Gothic" w:cs="Calibri"/>
                <w:sz w:val="14"/>
                <w:szCs w:val="14"/>
              </w:rPr>
              <w:br/>
              <w:t>Lorsque la procédure est ouverte par une juridiction qui a son siège sur le territoire de la France métropolitaine, le délai est augmenté de deux mois pour les créanciers qui ne demeurent pas sur ce territoire.</w:t>
            </w:r>
            <w:r w:rsidRPr="000B3D8D">
              <w:rPr>
                <w:rFonts w:ascii="Century Gothic" w:hAnsi="Century Gothic" w:cs="Calibri"/>
                <w:sz w:val="14"/>
                <w:szCs w:val="14"/>
              </w:rPr>
              <w:br/>
              <w:t>Lorsque la procédure est ouverte par une juridiction qui a son siège dans un département ou une collectivité d'outre-mer, le délai est augmenté de deux mois pour les créanciers qui ne demeurent pas dans ce département ou cette collectivité.</w:t>
            </w:r>
          </w:p>
          <w:p w:rsidRPr="000B3D8D" w:rsidR="00B94ED3" w:rsidP="00CD027A" w:rsidRDefault="00B94ED3" w14:paraId="42D81680" w14:textId="77777777">
            <w:pPr>
              <w:pStyle w:val="NormalWeb"/>
              <w:jc w:val="both"/>
              <w:rPr>
                <w:rFonts w:ascii="Century Gothic" w:hAnsi="Century Gothic" w:cs="Calibri"/>
                <w:sz w:val="14"/>
                <w:szCs w:val="14"/>
              </w:rPr>
            </w:pPr>
            <w:r w:rsidRPr="000B3D8D">
              <w:rPr>
                <w:rFonts w:ascii="Century Gothic" w:hAnsi="Century Gothic" w:cs="Calibri"/>
                <w:b/>
                <w:sz w:val="14"/>
                <w:szCs w:val="14"/>
              </w:rPr>
              <w:t>Article L.622-25</w:t>
            </w:r>
            <w:r w:rsidRPr="000B3D8D">
              <w:rPr>
                <w:rFonts w:ascii="Century Gothic" w:hAnsi="Century Gothic" w:cs="Calibri"/>
                <w:sz w:val="14"/>
                <w:szCs w:val="14"/>
              </w:rPr>
              <w:t xml:space="preserve"> : La déclaration porte le montant de la créance due au jour du jugement d'ouverture avec indication des sommes à échoir et de la date de leurs échéances. Elle précise la nature du privilège ou de la sûreté dont la créance est éventuellement assortie. Lorsqu'il s'agit de créances en monnaie étrangère, la conversion en euros a lieu selon le cours du change à la date du jugement d'ouverture. Sauf si elle résulte d'un titre exécutoire, la créance déclarée est certifiée sincère par le créancier. Le visa du commissaire aux comptes ou, à défaut, de l'expert-comptable sur la déclaration de créance peut être demandé par le juge-commissaire. Le refus de visa est motivé. </w:t>
            </w:r>
            <w:r w:rsidRPr="000B3D8D">
              <w:rPr>
                <w:rFonts w:ascii="Century Gothic" w:hAnsi="Century Gothic" w:cs="Calibri"/>
                <w:b/>
                <w:sz w:val="14"/>
                <w:szCs w:val="14"/>
              </w:rPr>
              <w:t xml:space="preserve"> </w:t>
            </w:r>
          </w:p>
        </w:tc>
        <w:tc>
          <w:tcPr>
            <w:tcW w:w="236" w:type="dxa"/>
          </w:tcPr>
          <w:p w:rsidRPr="000B3D8D" w:rsidR="00B94ED3" w:rsidP="00CD027A" w:rsidRDefault="00B94ED3" w14:paraId="76E3FD58" w14:textId="77777777">
            <w:pPr>
              <w:pStyle w:val="Corpsdetexte2"/>
              <w:spacing w:after="0" w:line="240" w:lineRule="auto"/>
              <w:jc w:val="both"/>
              <w:rPr>
                <w:rFonts w:ascii="Century Gothic" w:hAnsi="Century Gothic" w:cs="Calibri"/>
                <w:sz w:val="14"/>
                <w:szCs w:val="14"/>
              </w:rPr>
            </w:pPr>
          </w:p>
        </w:tc>
        <w:tc>
          <w:tcPr>
            <w:tcW w:w="5385" w:type="dxa"/>
          </w:tcPr>
          <w:p w:rsidRPr="000B3D8D" w:rsidR="00B94ED3" w:rsidP="00CD027A" w:rsidRDefault="00B94ED3" w14:paraId="237B18CC" w14:textId="5DC8849F">
            <w:pPr>
              <w:pStyle w:val="NormalWeb"/>
              <w:tabs>
                <w:tab w:val="left" w:pos="5103"/>
              </w:tabs>
              <w:ind w:firstLine="2"/>
              <w:jc w:val="both"/>
              <w:rPr>
                <w:rFonts w:ascii="Century Gothic" w:hAnsi="Century Gothic" w:cs="Calibri"/>
                <w:sz w:val="14"/>
                <w:szCs w:val="14"/>
              </w:rPr>
            </w:pPr>
            <w:r w:rsidRPr="000B3D8D">
              <w:rPr>
                <w:rFonts w:ascii="Century Gothic" w:hAnsi="Century Gothic" w:cs="Calibri"/>
                <w:b/>
                <w:sz w:val="14"/>
                <w:szCs w:val="14"/>
              </w:rPr>
              <w:t>Article R.622-23</w:t>
            </w:r>
            <w:r w:rsidRPr="000B3D8D">
              <w:rPr>
                <w:rFonts w:ascii="Century Gothic" w:hAnsi="Century Gothic" w:cs="Calibri"/>
                <w:sz w:val="14"/>
                <w:szCs w:val="14"/>
              </w:rPr>
              <w:t> : Outre les indications prévues à l'article</w:t>
            </w:r>
            <w:r w:rsidRPr="000B3D8D">
              <w:rPr>
                <w:rFonts w:ascii="Century Gothic" w:hAnsi="Century Gothic" w:cs="Calibri"/>
                <w:sz w:val="14"/>
                <w:szCs w:val="14"/>
                <w:bdr w:val="single" w:color="FFFFFF" w:sz="6" w:space="0" w:frame="true"/>
              </w:rPr>
              <w:t>L.622-25</w:t>
            </w:r>
            <w:r w:rsidRPr="000B3D8D">
              <w:rPr>
                <w:rFonts w:ascii="Century Gothic" w:hAnsi="Century Gothic" w:cs="Calibri"/>
                <w:sz w:val="14"/>
                <w:szCs w:val="14"/>
              </w:rPr>
              <w:t>, la déclaration de créance contient :</w:t>
            </w:r>
            <w:r w:rsidRPr="000B3D8D">
              <w:rPr>
                <w:rFonts w:ascii="Century Gothic" w:hAnsi="Century Gothic" w:cs="Calibri"/>
                <w:sz w:val="14"/>
                <w:szCs w:val="14"/>
              </w:rPr>
              <w:br/>
              <w:t>1° Les éléments de nature à prouver l'existence et le montant de la créance si elle ne résulte pas d'un titre ; à défaut, une évaluation de la créance si son montant n'a pas encore été fixé ;</w:t>
            </w:r>
            <w:r w:rsidRPr="000B3D8D">
              <w:rPr>
                <w:rFonts w:ascii="Century Gothic" w:hAnsi="Century Gothic" w:cs="Calibri"/>
                <w:sz w:val="14"/>
                <w:szCs w:val="14"/>
              </w:rPr>
              <w:br/>
              <w:t>2° Les modalités de calcul des intérêts dont le cours n'est pas arrêté, cette indication valant déclaration pour le montant ultérieurement arrêté ;</w:t>
            </w:r>
            <w:r w:rsidRPr="000B3D8D">
              <w:rPr>
                <w:rFonts w:ascii="Century Gothic" w:hAnsi="Century Gothic" w:cs="Calibri"/>
                <w:sz w:val="14"/>
                <w:szCs w:val="14"/>
              </w:rPr>
              <w:br/>
              <w:t>3° L'indication de la juridiction saisie si la créance fait l'objet d'un litige.</w:t>
            </w:r>
            <w:r w:rsidRPr="000B3D8D">
              <w:rPr>
                <w:rFonts w:ascii="Century Gothic" w:hAnsi="Century Gothic" w:cs="Calibri"/>
                <w:sz w:val="14"/>
                <w:szCs w:val="14"/>
              </w:rPr>
              <w:br/>
              <w:t xml:space="preserve">A cette déclaration sont joints sous bordereau les documents justificatifs ; ceux-ci peuvent être produits en copie. </w:t>
            </w:r>
            <w:r w:rsidRPr="000B3D8D" w:rsidR="00CE1ABD">
              <w:rPr>
                <w:rFonts w:ascii="Century Gothic" w:hAnsi="Century Gothic" w:cs="Calibri"/>
                <w:sz w:val="14"/>
                <w:szCs w:val="14"/>
              </w:rPr>
              <w:t>À tout moment</w:t>
            </w:r>
            <w:r w:rsidRPr="000B3D8D">
              <w:rPr>
                <w:rFonts w:ascii="Century Gothic" w:hAnsi="Century Gothic" w:cs="Calibri"/>
                <w:sz w:val="14"/>
                <w:szCs w:val="14"/>
              </w:rPr>
              <w:t>, le mandataire judiciaire peut demander la production de documents qui n'auraient pas été joints.</w:t>
            </w:r>
          </w:p>
          <w:p w:rsidRPr="000B3D8D" w:rsidR="00B94ED3" w:rsidP="00CD027A" w:rsidRDefault="00B94ED3" w14:paraId="44731F74" w14:textId="77777777">
            <w:pPr>
              <w:pStyle w:val="NormalWeb"/>
              <w:tabs>
                <w:tab w:val="left" w:pos="5103"/>
              </w:tabs>
              <w:ind w:hanging="142"/>
              <w:jc w:val="both"/>
              <w:rPr>
                <w:rFonts w:ascii="Century Gothic" w:hAnsi="Century Gothic" w:cs="Calibri"/>
                <w:sz w:val="14"/>
                <w:szCs w:val="14"/>
              </w:rPr>
            </w:pPr>
            <w:r w:rsidRPr="000B3D8D">
              <w:rPr>
                <w:rFonts w:ascii="Century Gothic" w:hAnsi="Century Gothic" w:cs="Calibri"/>
                <w:b/>
                <w:sz w:val="14"/>
                <w:szCs w:val="14"/>
              </w:rPr>
              <w:t xml:space="preserve">  Article R.621-19 : </w:t>
            </w:r>
            <w:r w:rsidRPr="000B3D8D">
              <w:rPr>
                <w:rFonts w:ascii="Century Gothic" w:hAnsi="Century Gothic" w:cs="Calibri"/>
                <w:sz w:val="14"/>
                <w:szCs w:val="14"/>
              </w:rPr>
              <w:t xml:space="preserve">Le mandataire judiciaire prend toute mesure pour informer et consulter les créanciers. Les créanciers qui en font la demande par lettre recommandée avec demande d'avis de réception au mandataire judiciaire sont tenus informés par celui-ci des étapes essentielles de la procédure au fur et à mesure du déroulement de celle-ci. </w:t>
            </w:r>
          </w:p>
          <w:p w:rsidRPr="000B3D8D" w:rsidR="00B94ED3" w:rsidP="00CD027A" w:rsidRDefault="00B94ED3" w14:paraId="0F8A7AB6" w14:textId="77777777">
            <w:pPr>
              <w:pStyle w:val="NormalWeb"/>
              <w:tabs>
                <w:tab w:val="left" w:pos="5103"/>
              </w:tabs>
              <w:ind w:hanging="142"/>
              <w:jc w:val="both"/>
              <w:rPr>
                <w:rFonts w:ascii="Century Gothic" w:hAnsi="Century Gothic" w:cs="Calibri"/>
                <w:b/>
                <w:sz w:val="14"/>
                <w:szCs w:val="14"/>
              </w:rPr>
            </w:pPr>
            <w:r w:rsidRPr="000B3D8D">
              <w:rPr>
                <w:rFonts w:ascii="Century Gothic" w:hAnsi="Century Gothic" w:cs="Calibri"/>
                <w:b/>
                <w:sz w:val="14"/>
                <w:szCs w:val="14"/>
              </w:rPr>
              <w:t xml:space="preserve">  </w:t>
            </w:r>
            <w:r w:rsidRPr="000B3D8D">
              <w:rPr>
                <w:rFonts w:ascii="Century Gothic" w:hAnsi="Century Gothic" w:cs="Calibri"/>
                <w:b/>
                <w:sz w:val="14"/>
                <w:szCs w:val="14"/>
                <w:u w:val="single"/>
              </w:rPr>
              <w:t>Déclaration de créances postérieures</w:t>
            </w:r>
            <w:r w:rsidRPr="000B3D8D">
              <w:rPr>
                <w:rFonts w:ascii="Century Gothic" w:hAnsi="Century Gothic" w:cs="Calibri"/>
                <w:b/>
                <w:sz w:val="14"/>
                <w:szCs w:val="14"/>
              </w:rPr>
              <w:t> :</w:t>
            </w:r>
          </w:p>
          <w:p w:rsidRPr="000B3D8D" w:rsidR="00B94ED3" w:rsidP="00CD027A" w:rsidRDefault="00B94ED3" w14:paraId="4E925C3A" w14:textId="77777777">
            <w:pPr>
              <w:pStyle w:val="NormalWeb"/>
              <w:tabs>
                <w:tab w:val="left" w:pos="5103"/>
              </w:tabs>
              <w:spacing w:after="0" w:afterAutospacing="false"/>
              <w:ind w:hanging="142"/>
              <w:jc w:val="both"/>
              <w:rPr>
                <w:rFonts w:ascii="Century Gothic" w:hAnsi="Century Gothic" w:cs="Calibri"/>
                <w:sz w:val="14"/>
                <w:szCs w:val="14"/>
              </w:rPr>
            </w:pPr>
            <w:r w:rsidRPr="000B3D8D">
              <w:rPr>
                <w:rFonts w:ascii="Century Gothic" w:hAnsi="Century Gothic" w:cs="Calibri"/>
                <w:b/>
                <w:sz w:val="14"/>
                <w:szCs w:val="14"/>
              </w:rPr>
              <w:t xml:space="preserve">  Article L.622-24 : </w:t>
            </w:r>
            <w:r w:rsidRPr="000B3D8D">
              <w:rPr>
                <w:rFonts w:ascii="Century Gothic" w:hAnsi="Century Gothic" w:cs="Calibri"/>
                <w:sz w:val="14"/>
                <w:szCs w:val="14"/>
              </w:rPr>
              <w:t xml:space="preserve">Les créances nées régulièrement après le jugement d'ouverture, autres que celles mentionnées au I de l'article L. 622-17 sont soumises aux dispositions du présent article. Les délais courent à compter de la date d'exigibilité de la créance. Toutefois, les créanciers dont les créances résultent d'un contrat à exécution successive déclarent l'intégralité des sommes qui leur sont dues dans des conditions prévues par décret en Conseil d'Etat.   Le délai de déclaration, par une partie civile, des créances nées d'une infraction pénale court dans les conditions prévues au premier alinéa ou à compter de la date de la décision définitive qui en fixe le montant, lorsque cette décision intervient après la publication du jugement d'ouverture. </w:t>
            </w:r>
          </w:p>
          <w:p w:rsidRPr="000B3D8D" w:rsidR="00B94ED3" w:rsidP="00CD027A" w:rsidRDefault="00B94ED3" w14:paraId="5FE8FB2E" w14:textId="77777777">
            <w:pPr>
              <w:pStyle w:val="NormalWeb"/>
              <w:tabs>
                <w:tab w:val="left" w:pos="5103"/>
              </w:tabs>
              <w:spacing w:after="0" w:afterAutospacing="false"/>
              <w:ind w:hanging="142"/>
              <w:jc w:val="both"/>
              <w:rPr>
                <w:rFonts w:ascii="Century Gothic" w:hAnsi="Century Gothic" w:cs="Calibri"/>
                <w:sz w:val="14"/>
                <w:szCs w:val="14"/>
              </w:rPr>
            </w:pPr>
            <w:r w:rsidRPr="000B3D8D">
              <w:rPr>
                <w:rFonts w:ascii="Century Gothic" w:hAnsi="Century Gothic" w:cs="Calibri"/>
                <w:sz w:val="14"/>
                <w:szCs w:val="14"/>
              </w:rPr>
              <w:t xml:space="preserve">  </w:t>
            </w:r>
            <w:r w:rsidRPr="000B3D8D">
              <w:rPr>
                <w:rFonts w:ascii="Century Gothic" w:hAnsi="Century Gothic" w:cs="Calibri"/>
                <w:b/>
                <w:sz w:val="14"/>
                <w:szCs w:val="14"/>
              </w:rPr>
              <w:t xml:space="preserve">Article L.622-17 : </w:t>
            </w:r>
            <w:r w:rsidRPr="000B3D8D">
              <w:rPr>
                <w:rFonts w:ascii="Century Gothic" w:hAnsi="Century Gothic" w:cs="Calibri"/>
                <w:sz w:val="14"/>
                <w:szCs w:val="14"/>
              </w:rPr>
              <w:t>IV. - Les créances impayées perdent le privilège que leur confère le présent article si elles n'ont pas été portées à la connaissance du mandataire judiciaire et de l'administrateur lorsqu'il en a été désigné ou, lorsque ces organes ont cessé leurs fonctions, du commissaire à l'exécution du plan ou du liquidateur, dans le délai d'un an à compter de la fin de la période d'observation.</w:t>
            </w:r>
          </w:p>
          <w:p w:rsidRPr="000B3D8D" w:rsidR="00B94ED3" w:rsidP="00CD027A" w:rsidRDefault="00B94ED3" w14:paraId="07F8F2F3" w14:textId="77777777">
            <w:pPr>
              <w:pStyle w:val="NormalWeb"/>
              <w:tabs>
                <w:tab w:val="left" w:pos="5103"/>
              </w:tabs>
              <w:ind w:hanging="142"/>
              <w:jc w:val="both"/>
              <w:rPr>
                <w:rFonts w:ascii="Century Gothic" w:hAnsi="Century Gothic" w:cs="Calibri"/>
                <w:sz w:val="14"/>
                <w:szCs w:val="14"/>
              </w:rPr>
            </w:pPr>
            <w:r w:rsidRPr="000B3D8D">
              <w:rPr>
                <w:rFonts w:ascii="Century Gothic" w:hAnsi="Century Gothic" w:cs="Calibri"/>
                <w:sz w:val="14"/>
                <w:szCs w:val="14"/>
              </w:rPr>
              <w:t xml:space="preserve">  </w:t>
            </w:r>
            <w:r w:rsidRPr="000B3D8D">
              <w:rPr>
                <w:rFonts w:ascii="Century Gothic" w:hAnsi="Century Gothic" w:cs="Calibri"/>
                <w:b/>
                <w:sz w:val="14"/>
                <w:szCs w:val="14"/>
              </w:rPr>
              <w:t>Article R.622-22</w:t>
            </w:r>
            <w:r w:rsidRPr="000B3D8D">
              <w:rPr>
                <w:rFonts w:ascii="Century Gothic" w:hAnsi="Century Gothic" w:cs="Calibri"/>
                <w:sz w:val="14"/>
                <w:szCs w:val="14"/>
              </w:rPr>
              <w:t> : En application du cinquième alinéa de l'article L. 622-24 les créanciers dont les créances, nées régulièrement après le jugement d'ouverture autres que celles mentionnées au I de l'</w:t>
            </w:r>
            <w:hyperlink w:history="true" r:id="rId6">
              <w:r w:rsidRPr="000B3D8D">
                <w:rPr>
                  <w:rFonts w:ascii="Century Gothic" w:hAnsi="Century Gothic" w:cs="Calibri"/>
                  <w:sz w:val="14"/>
                  <w:szCs w:val="14"/>
                </w:rPr>
                <w:t>article L. 622-17</w:t>
              </w:r>
            </w:hyperlink>
            <w:r w:rsidRPr="000B3D8D">
              <w:rPr>
                <w:rFonts w:ascii="Century Gothic" w:hAnsi="Century Gothic" w:cs="Calibri"/>
                <w:sz w:val="14"/>
                <w:szCs w:val="14"/>
              </w:rPr>
              <w:t>, résultent d'un contrat à exécution successive déclarent leurs créances, pour la totalité des sommes échues et à échoir, sur la base d'une évaluation, dans un délai de deux mois à compter de la publication du jugement d'ouverture au Bulletin officiel des annonces civiles et commerciales.</w:t>
            </w:r>
            <w:r w:rsidRPr="000B3D8D">
              <w:rPr>
                <w:rFonts w:ascii="Century Gothic" w:hAnsi="Century Gothic" w:cs="Calibri"/>
                <w:sz w:val="14"/>
                <w:szCs w:val="14"/>
              </w:rPr>
              <w:br/>
              <w:t>Lorsque le contrat est conclu postérieurement à ce jugement, les créanciers déclarent leurs créances pour la totalité des sommes échues et à échoir, sur la base d'une évaluation, dans un délai de deux mois à compter de la première échéance impayée, qu'elle ait été ou non régularisée.</w:t>
            </w:r>
          </w:p>
          <w:p w:rsidRPr="000B3D8D" w:rsidR="00B94ED3" w:rsidP="00CD027A" w:rsidRDefault="00B94ED3" w14:paraId="748D0295" w14:textId="77777777">
            <w:pPr>
              <w:pStyle w:val="Corpsdetexte2"/>
              <w:spacing w:after="0" w:line="240" w:lineRule="auto"/>
              <w:jc w:val="both"/>
              <w:rPr>
                <w:rFonts w:ascii="Century Gothic" w:hAnsi="Century Gothic" w:cs="Calibri"/>
                <w:sz w:val="14"/>
                <w:szCs w:val="14"/>
              </w:rPr>
            </w:pPr>
          </w:p>
        </w:tc>
      </w:tr>
    </w:tbl>
    <w:p w:rsidRPr="000B3D8D" w:rsidR="00B94ED3" w:rsidP="00B94ED3" w:rsidRDefault="00B94ED3" w14:paraId="4C4D9607" w14:textId="77777777">
      <w:pPr>
        <w:pStyle w:val="Corpsdetexte2"/>
        <w:spacing w:after="0" w:line="240" w:lineRule="auto"/>
        <w:jc w:val="both"/>
        <w:rPr>
          <w:rFonts w:ascii="Century Gothic" w:hAnsi="Century Gothic" w:cs="Calibri"/>
          <w:sz w:val="14"/>
          <w:szCs w:val="14"/>
        </w:rPr>
      </w:pPr>
    </w:p>
    <w:p w:rsidRPr="005F7586" w:rsidR="00B94ED3" w:rsidP="00B94ED3" w:rsidRDefault="00B94ED3" w14:paraId="57816C40" w14:textId="77777777">
      <w:pPr>
        <w:pStyle w:val="Corpsdetexte2"/>
        <w:spacing w:after="0" w:line="240" w:lineRule="auto"/>
        <w:jc w:val="both"/>
        <w:rPr>
          <w:rFonts w:ascii="Century Gothic" w:hAnsi="Century Gothic" w:cs="Calibri"/>
          <w:sz w:val="16"/>
          <w:szCs w:val="16"/>
        </w:rPr>
      </w:pPr>
      <w:r w:rsidRPr="000B3D8D">
        <w:rPr>
          <w:rFonts w:ascii="Century Gothic" w:hAnsi="Century Gothic" w:cs="Calibri"/>
          <w:sz w:val="14"/>
          <w:szCs w:val="14"/>
        </w:rPr>
        <w:br w:type="page"/>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163"/>
        <w:gridCol w:w="236"/>
        <w:gridCol w:w="5385"/>
      </w:tblGrid>
      <w:tr w:rsidRPr="000B3D8D" w:rsidR="00B94ED3" w:rsidTr="00CD027A" w14:paraId="13D9BBCD" w14:textId="77777777">
        <w:trPr>
          <w:trHeight w:val="14681"/>
        </w:trPr>
        <w:tc>
          <w:tcPr>
            <w:tcW w:w="5163" w:type="dxa"/>
          </w:tcPr>
          <w:p w:rsidRPr="000B3D8D" w:rsidR="00B94ED3" w:rsidP="00CD027A" w:rsidRDefault="00B94ED3" w14:paraId="1B22A7B2" w14:textId="77777777">
            <w:pPr>
              <w:pStyle w:val="NormalWeb"/>
              <w:keepLines/>
              <w:widowControl w:val="false"/>
              <w:spacing w:after="0" w:afterAutospacing="false"/>
              <w:jc w:val="both"/>
              <w:rPr>
                <w:rFonts w:ascii="Century Gothic" w:hAnsi="Century Gothic" w:cs="Calibri"/>
                <w:b/>
                <w:sz w:val="14"/>
                <w:szCs w:val="14"/>
              </w:rPr>
            </w:pPr>
            <w:r w:rsidRPr="000B3D8D">
              <w:rPr>
                <w:rFonts w:ascii="Century Gothic" w:hAnsi="Century Gothic" w:cs="Calibri"/>
                <w:b/>
                <w:sz w:val="14"/>
                <w:szCs w:val="14"/>
                <w:u w:val="single"/>
              </w:rPr>
              <w:t>Revendication et restitution de biens</w:t>
            </w:r>
            <w:r w:rsidRPr="000B3D8D">
              <w:rPr>
                <w:rFonts w:ascii="Century Gothic" w:hAnsi="Century Gothic" w:cs="Calibri"/>
                <w:b/>
                <w:sz w:val="14"/>
                <w:szCs w:val="14"/>
              </w:rPr>
              <w:t> :</w:t>
            </w:r>
          </w:p>
          <w:p w:rsidRPr="000B3D8D" w:rsidR="00B94ED3" w:rsidP="00CD027A" w:rsidRDefault="00B94ED3" w14:paraId="1B882657" w14:textId="77777777">
            <w:pPr>
              <w:pStyle w:val="NormalWeb"/>
              <w:keepLines/>
              <w:widowControl w:val="false"/>
              <w:spacing w:before="0" w:beforeAutospacing="false" w:after="0" w:afterAutospacing="false"/>
              <w:jc w:val="both"/>
              <w:rPr>
                <w:rFonts w:ascii="Century Gothic" w:hAnsi="Century Gothic" w:cs="Calibri"/>
                <w:sz w:val="14"/>
                <w:szCs w:val="14"/>
              </w:rPr>
            </w:pPr>
            <w:r w:rsidRPr="000B3D8D">
              <w:rPr>
                <w:rFonts w:ascii="Century Gothic" w:hAnsi="Century Gothic" w:cs="Calibri"/>
                <w:b/>
                <w:sz w:val="14"/>
                <w:szCs w:val="14"/>
              </w:rPr>
              <w:t xml:space="preserve">Article L.624-9 : </w:t>
            </w:r>
            <w:r w:rsidRPr="000B3D8D">
              <w:rPr>
                <w:rFonts w:ascii="Century Gothic" w:hAnsi="Century Gothic" w:cs="Calibri"/>
                <w:sz w:val="14"/>
                <w:szCs w:val="14"/>
              </w:rPr>
              <w:t>La revendication des meubles ne peut être exercée que dans le délai de trois mois suivant la publication du jugement ouvrant la procédure.</w:t>
            </w:r>
            <w:r w:rsidRPr="000B3D8D">
              <w:rPr>
                <w:rFonts w:ascii="Century Gothic" w:hAnsi="Century Gothic" w:cs="Calibri"/>
                <w:sz w:val="14"/>
                <w:szCs w:val="14"/>
              </w:rPr>
              <w:br/>
              <w:t>Pour les biens faisant l'objet d'un contrat en cours au jour de l'ouverture de la procédure, le délai court à partir de la résiliation ou du terme du contrat.</w:t>
            </w:r>
          </w:p>
          <w:p w:rsidRPr="000B3D8D" w:rsidR="00B94ED3" w:rsidP="00CD027A" w:rsidRDefault="00B94ED3" w14:paraId="5133A6CE" w14:textId="77777777">
            <w:pPr>
              <w:pStyle w:val="NormalWeb"/>
              <w:keepLines/>
              <w:widowControl w:val="false"/>
              <w:spacing w:before="0" w:beforeAutospacing="false" w:after="0" w:afterAutospacing="false"/>
              <w:jc w:val="both"/>
              <w:rPr>
                <w:rFonts w:ascii="Century Gothic" w:hAnsi="Century Gothic" w:cs="Calibri"/>
                <w:sz w:val="14"/>
                <w:szCs w:val="14"/>
              </w:rPr>
            </w:pPr>
            <w:r w:rsidRPr="000B3D8D">
              <w:rPr>
                <w:rFonts w:ascii="Century Gothic" w:hAnsi="Century Gothic" w:cs="Calibri"/>
                <w:b/>
                <w:sz w:val="14"/>
                <w:szCs w:val="14"/>
              </w:rPr>
              <w:t>Article R.624-13</w:t>
            </w:r>
            <w:r w:rsidRPr="000B3D8D">
              <w:rPr>
                <w:rFonts w:ascii="Century Gothic" w:hAnsi="Century Gothic" w:cs="Calibri"/>
                <w:sz w:val="14"/>
                <w:szCs w:val="14"/>
              </w:rPr>
              <w:t> : La demande en revendication d'un bien est adressée dans le délai prévu à l'article L. 624-9 par lettre recommandée avec demande d'avis de réception à l'administrateur s'il en a été désigné ou, à défaut, au débiteur. Le demandeur en adresse une copie au mandataire judiciaire.</w:t>
            </w:r>
            <w:r w:rsidRPr="000B3D8D">
              <w:rPr>
                <w:rFonts w:ascii="Century Gothic" w:hAnsi="Century Gothic" w:cs="Calibri"/>
                <w:sz w:val="14"/>
                <w:szCs w:val="14"/>
              </w:rPr>
              <w:br/>
              <w:t>A défaut d'acquiescement dans le délai d'un mois à compter de la réception de la demande, le demandeur doit, sous peine de forclusion, saisir le juge-commissaire au plus tard dans un délai d'un mois à compter de l'expiration du délai de réponse.</w:t>
            </w:r>
            <w:r w:rsidRPr="000B3D8D">
              <w:rPr>
                <w:rFonts w:ascii="Century Gothic" w:hAnsi="Century Gothic" w:cs="Calibri"/>
                <w:sz w:val="14"/>
                <w:szCs w:val="14"/>
              </w:rPr>
              <w:br/>
              <w:t>Avant de statuer, le juge-commissaire recueille les observations des parties intéressées.</w:t>
            </w:r>
            <w:r w:rsidRPr="000B3D8D">
              <w:rPr>
                <w:rFonts w:ascii="Century Gothic" w:hAnsi="Century Gothic" w:cs="Calibri"/>
                <w:sz w:val="14"/>
                <w:szCs w:val="14"/>
              </w:rPr>
              <w:br/>
              <w:t>La demande en revendication emporte de plein droit demande en restitution.</w:t>
            </w:r>
          </w:p>
          <w:p w:rsidRPr="000B3D8D" w:rsidR="00B94ED3" w:rsidP="00CD027A" w:rsidRDefault="00B94ED3" w14:paraId="45930673" w14:textId="77777777">
            <w:pPr>
              <w:pStyle w:val="NormalWeb"/>
              <w:keepLines/>
              <w:widowControl w:val="false"/>
              <w:spacing w:before="0" w:beforeAutospacing="false" w:after="0" w:afterAutospacing="false"/>
              <w:jc w:val="both"/>
              <w:rPr>
                <w:rFonts w:ascii="Century Gothic" w:hAnsi="Century Gothic" w:cs="Calibri"/>
                <w:sz w:val="14"/>
                <w:szCs w:val="14"/>
              </w:rPr>
            </w:pPr>
            <w:r w:rsidRPr="000B3D8D">
              <w:rPr>
                <w:rFonts w:ascii="Century Gothic" w:hAnsi="Century Gothic" w:cs="Calibri"/>
                <w:b/>
                <w:sz w:val="14"/>
                <w:szCs w:val="14"/>
              </w:rPr>
              <w:t>Article L.624-10</w:t>
            </w:r>
            <w:r w:rsidRPr="000B3D8D">
              <w:rPr>
                <w:rFonts w:ascii="Century Gothic" w:hAnsi="Century Gothic" w:cs="Calibri"/>
                <w:sz w:val="14"/>
                <w:szCs w:val="14"/>
              </w:rPr>
              <w:t> : Le propriétaire d'un bien est dispensé de faire reconnaître son droit de propriété lorsque le contrat portant sur ce bien a fait l'objet d'une publicité. Il peut réclamer la restitution de son bien dans des conditions fixées par décret en Conseil d'Etat.</w:t>
            </w:r>
          </w:p>
          <w:p w:rsidRPr="000B3D8D" w:rsidR="00B94ED3" w:rsidP="00CD027A" w:rsidRDefault="00B94ED3" w14:paraId="346B4CE9" w14:textId="77777777">
            <w:pPr>
              <w:widowControl/>
              <w:autoSpaceDE w:val="false"/>
              <w:jc w:val="both"/>
              <w:rPr>
                <w:rFonts w:ascii="Century Gothic" w:hAnsi="Century Gothic" w:cs="Calibri"/>
                <w:sz w:val="14"/>
                <w:szCs w:val="14"/>
                <w:lang w:bidi="ar-SA"/>
              </w:rPr>
            </w:pPr>
            <w:r w:rsidRPr="000B3D8D">
              <w:rPr>
                <w:rFonts w:ascii="Century Gothic" w:hAnsi="Century Gothic" w:cs="Calibri"/>
                <w:b/>
                <w:sz w:val="14"/>
                <w:szCs w:val="14"/>
              </w:rPr>
              <w:t>Article R.624-15 </w:t>
            </w:r>
            <w:r w:rsidRPr="000B3D8D">
              <w:rPr>
                <w:rFonts w:ascii="Century Gothic" w:hAnsi="Century Gothic" w:cs="Calibri"/>
                <w:sz w:val="14"/>
                <w:szCs w:val="14"/>
              </w:rPr>
              <w:t>:</w:t>
            </w:r>
            <w:r w:rsidRPr="000B3D8D">
              <w:rPr>
                <w:rFonts w:ascii="Century Gothic" w:hAnsi="Century Gothic" w:cs="Calibri"/>
                <w:sz w:val="14"/>
                <w:szCs w:val="14"/>
                <w:lang w:bidi="ar-SA"/>
              </w:rPr>
              <w:t xml:space="preserve"> Pour bénéficier des dispositions de l'article L. 624-10, les contrats qui y sont mentionnés doivent avoir été publiés avant le jugement d'ouverture selon les modalités qui leur sont applicables.</w:t>
            </w:r>
          </w:p>
          <w:p w:rsidRPr="000B3D8D" w:rsidR="00B94ED3" w:rsidP="00CD027A" w:rsidRDefault="00B94ED3" w14:paraId="13724609" w14:textId="77777777">
            <w:pPr>
              <w:widowControl/>
              <w:autoSpaceDE w:val="false"/>
              <w:jc w:val="both"/>
              <w:rPr>
                <w:rFonts w:ascii="Century Gothic" w:hAnsi="Century Gothic" w:cs="Calibri"/>
                <w:sz w:val="14"/>
                <w:szCs w:val="14"/>
              </w:rPr>
            </w:pPr>
            <w:r w:rsidRPr="000B3D8D">
              <w:rPr>
                <w:rFonts w:ascii="Century Gothic" w:hAnsi="Century Gothic" w:cs="Calibri"/>
                <w:sz w:val="14"/>
                <w:szCs w:val="14"/>
                <w:lang w:bidi="ar-SA"/>
              </w:rPr>
              <w:t xml:space="preserve">Aux mêmes fins, en l'absence de réglementation particulière, le propriétaire du bien doit avoir fait publier le contrat avant le jugement d'ouverture, selon le cas, au registre mentionné à l'article R. 313-4 du code monétaire et financier ou au registre prévu au troisième alinéa de </w:t>
            </w:r>
            <w:r w:rsidRPr="000B3D8D">
              <w:rPr>
                <w:rFonts w:ascii="Century Gothic" w:hAnsi="Century Gothic" w:cs="Calibri"/>
                <w:sz w:val="14"/>
                <w:szCs w:val="14"/>
              </w:rPr>
              <w:t>l'article R. 621-8 du présent code.</w:t>
            </w:r>
          </w:p>
          <w:p w:rsidRPr="000B3D8D" w:rsidR="00B94ED3" w:rsidP="00CD027A" w:rsidRDefault="00B94ED3" w14:paraId="21F5945F" w14:textId="77777777">
            <w:pPr>
              <w:widowControl/>
              <w:autoSpaceDE w:val="false"/>
              <w:jc w:val="both"/>
              <w:rPr>
                <w:rFonts w:ascii="Century Gothic" w:hAnsi="Century Gothic" w:cs="Calibri"/>
                <w:color w:val="585430"/>
                <w:sz w:val="14"/>
                <w:szCs w:val="14"/>
              </w:rPr>
            </w:pPr>
            <w:r w:rsidRPr="000B3D8D">
              <w:rPr>
                <w:rFonts w:ascii="Century Gothic" w:hAnsi="Century Gothic" w:cs="Calibri"/>
                <w:b/>
                <w:sz w:val="14"/>
                <w:szCs w:val="14"/>
              </w:rPr>
              <w:t>Article R.624-14</w:t>
            </w:r>
            <w:r w:rsidRPr="000B3D8D">
              <w:rPr>
                <w:rFonts w:ascii="Century Gothic" w:hAnsi="Century Gothic" w:cs="Calibri"/>
                <w:sz w:val="14"/>
                <w:szCs w:val="14"/>
              </w:rPr>
              <w:t> : Pour l'application de l'article L. 624-10 du code de commerce, la demande en restitution est faite par le propriétaire du bien par lettre recommandée avec demande d'avis de réception à l'administrateur, s'il en a été désigné, ou, à défaut, au débiteur. Une copie de cette demande est adressée au mandataire judiciaire.</w:t>
            </w:r>
            <w:r w:rsidRPr="000B3D8D">
              <w:rPr>
                <w:rFonts w:ascii="Century Gothic" w:hAnsi="Century Gothic" w:cs="Calibri"/>
                <w:sz w:val="14"/>
                <w:szCs w:val="14"/>
              </w:rPr>
              <w:br/>
              <w:t>A défaut d'accord dans le délai d'un mois à compter de la réception de la demande ou en cas de contestation, le juge-commissaire peut être saisi à la diligence du propriétaire afin qu'il soit statué sur les droits de ce dernier. Même en l'absence de demande préalable en restitution, le juge-commissaire peut également être saisi à cette même fin par l'administrateur ou par le débiteur</w:t>
            </w:r>
            <w:r w:rsidRPr="000B3D8D">
              <w:rPr>
                <w:rFonts w:ascii="Century Gothic" w:hAnsi="Century Gothic" w:cs="Calibri"/>
                <w:color w:val="585430"/>
                <w:sz w:val="14"/>
                <w:szCs w:val="14"/>
              </w:rPr>
              <w:t>.</w:t>
            </w:r>
          </w:p>
          <w:p w:rsidRPr="000B3D8D" w:rsidR="00B94ED3" w:rsidP="00CD027A" w:rsidRDefault="00B94ED3" w14:paraId="6549D6D4" w14:textId="77777777">
            <w:pPr>
              <w:widowControl/>
              <w:autoSpaceDE w:val="false"/>
              <w:jc w:val="both"/>
              <w:rPr>
                <w:rFonts w:ascii="Century Gothic" w:hAnsi="Century Gothic" w:cs="Calibri"/>
                <w:color w:val="000000"/>
                <w:sz w:val="14"/>
                <w:szCs w:val="14"/>
              </w:rPr>
            </w:pPr>
            <w:r w:rsidRPr="000B3D8D">
              <w:rPr>
                <w:rFonts w:ascii="Century Gothic" w:hAnsi="Century Gothic" w:cs="Calibri"/>
                <w:b/>
                <w:sz w:val="14"/>
                <w:szCs w:val="14"/>
              </w:rPr>
              <w:t>Articles L.624-12</w:t>
            </w:r>
            <w:r w:rsidRPr="000B3D8D">
              <w:rPr>
                <w:rFonts w:ascii="Century Gothic" w:hAnsi="Century Gothic" w:cs="Calibri"/>
                <w:sz w:val="14"/>
                <w:szCs w:val="14"/>
              </w:rPr>
              <w:t xml:space="preserve"> : </w:t>
            </w:r>
            <w:r w:rsidRPr="000B3D8D">
              <w:rPr>
                <w:rFonts w:ascii="Century Gothic" w:hAnsi="Century Gothic" w:cs="Calibri"/>
                <w:color w:val="000000"/>
                <w:sz w:val="14"/>
                <w:szCs w:val="14"/>
              </w:rPr>
              <w:t>Peuvent être revendiquées, si elles existent en nature, en tout ou partie, les marchandises dont la vente a été résolue antérieurement au jugement ouvrant la procédure soit par décision de justice, soit par le jeu d'une condition résolutoire acquise.</w:t>
            </w:r>
            <w:r w:rsidRPr="000B3D8D">
              <w:rPr>
                <w:rFonts w:ascii="Century Gothic" w:hAnsi="Century Gothic" w:cs="Calibri"/>
                <w:color w:val="000000"/>
                <w:sz w:val="14"/>
                <w:szCs w:val="14"/>
              </w:rPr>
              <w:br/>
              <w:t>La revendication doit pareillement être admise bien que la résolution de la vente ait été prononcée ou constatée par décision de justice postérieurement au jugement ouvrant la procédure lorsque l'action en revendication ou en résolution a été intentée antérieurement au jugement d'ouverture par le vendeur pour une cause autre que le défaut de paiement du prix.</w:t>
            </w:r>
          </w:p>
          <w:p w:rsidRPr="000B3D8D" w:rsidR="00B94ED3" w:rsidP="00CD027A" w:rsidRDefault="00B94ED3" w14:paraId="5CC36672" w14:textId="77777777">
            <w:pPr>
              <w:widowControl/>
              <w:autoSpaceDE w:val="false"/>
              <w:jc w:val="both"/>
              <w:rPr>
                <w:rFonts w:ascii="Century Gothic" w:hAnsi="Century Gothic" w:cs="Calibri"/>
                <w:color w:val="000000"/>
                <w:sz w:val="14"/>
                <w:szCs w:val="14"/>
              </w:rPr>
            </w:pPr>
            <w:r w:rsidRPr="000B3D8D">
              <w:rPr>
                <w:rFonts w:ascii="Century Gothic" w:hAnsi="Century Gothic" w:cs="Calibri"/>
                <w:b/>
                <w:color w:val="000000"/>
                <w:sz w:val="14"/>
                <w:szCs w:val="14"/>
              </w:rPr>
              <w:t>Article L.624-13</w:t>
            </w:r>
            <w:r w:rsidRPr="000B3D8D">
              <w:rPr>
                <w:rFonts w:ascii="Century Gothic" w:hAnsi="Century Gothic" w:cs="Calibri"/>
                <w:color w:val="000000"/>
                <w:sz w:val="14"/>
                <w:szCs w:val="14"/>
              </w:rPr>
              <w:t> : Peuvent être revendiquées les marchandises expédiées au débiteur tant que la tradition n'en a point été effectuée dans ses magasins ou dans ceux du commissionnaire chargé de les vendre pour son compte.</w:t>
            </w:r>
            <w:r w:rsidRPr="000B3D8D">
              <w:rPr>
                <w:rFonts w:ascii="Century Gothic" w:hAnsi="Century Gothic" w:cs="Calibri"/>
                <w:color w:val="000000"/>
                <w:sz w:val="14"/>
                <w:szCs w:val="14"/>
              </w:rPr>
              <w:br/>
              <w:t>Néanmoins, la revendication n'est pas recevable si, avant leur arrivée, les marchandises ont été revendues sans fraude, sur factures ou titres de transport réguliers.</w:t>
            </w:r>
          </w:p>
          <w:p w:rsidRPr="000B3D8D" w:rsidR="00B94ED3" w:rsidP="00CD027A" w:rsidRDefault="00B94ED3" w14:paraId="4F3DFEAD" w14:textId="77777777">
            <w:pPr>
              <w:widowControl/>
              <w:autoSpaceDE w:val="false"/>
              <w:jc w:val="both"/>
              <w:rPr>
                <w:rFonts w:ascii="Century Gothic" w:hAnsi="Century Gothic" w:cs="Calibri"/>
                <w:color w:val="000000"/>
                <w:sz w:val="14"/>
                <w:szCs w:val="14"/>
              </w:rPr>
            </w:pPr>
            <w:r w:rsidRPr="000B3D8D">
              <w:rPr>
                <w:rFonts w:ascii="Century Gothic" w:hAnsi="Century Gothic" w:cs="Calibri"/>
                <w:b/>
                <w:color w:val="000000"/>
                <w:sz w:val="14"/>
                <w:szCs w:val="14"/>
              </w:rPr>
              <w:t>Article L.624-14</w:t>
            </w:r>
            <w:r w:rsidRPr="000B3D8D">
              <w:rPr>
                <w:rFonts w:ascii="Century Gothic" w:hAnsi="Century Gothic" w:cs="Calibri"/>
                <w:color w:val="000000"/>
                <w:sz w:val="14"/>
                <w:szCs w:val="14"/>
              </w:rPr>
              <w:t> : Peuvent être retenues par le vendeur les marchandises qui ne sont pas délivrées ou expédiées au débiteur ou à un tiers agissant pour son compte.</w:t>
            </w:r>
          </w:p>
          <w:p w:rsidRPr="000B3D8D" w:rsidR="00B94ED3" w:rsidP="00CD027A" w:rsidRDefault="00B94ED3" w14:paraId="186015D5" w14:textId="77777777">
            <w:pPr>
              <w:widowControl/>
              <w:autoSpaceDE w:val="false"/>
              <w:jc w:val="both"/>
              <w:rPr>
                <w:rFonts w:ascii="Century Gothic" w:hAnsi="Century Gothic" w:cs="Calibri"/>
                <w:color w:val="000000"/>
                <w:sz w:val="14"/>
                <w:szCs w:val="14"/>
              </w:rPr>
            </w:pPr>
            <w:r w:rsidRPr="000B3D8D">
              <w:rPr>
                <w:rFonts w:ascii="Century Gothic" w:hAnsi="Century Gothic" w:cs="Calibri"/>
                <w:b/>
                <w:color w:val="000000"/>
                <w:sz w:val="14"/>
                <w:szCs w:val="14"/>
              </w:rPr>
              <w:t>Article L.624-15</w:t>
            </w:r>
            <w:r w:rsidRPr="000B3D8D">
              <w:rPr>
                <w:rFonts w:ascii="Century Gothic" w:hAnsi="Century Gothic" w:cs="Calibri"/>
                <w:color w:val="000000"/>
                <w:sz w:val="14"/>
                <w:szCs w:val="14"/>
              </w:rPr>
              <w:t> : Peuvent être revendiqués, s'ils se trouvent encore dans le portefeuille du débiteur, les effets de commerce ou autres titres non payés, remis par leur propriétaire pour être recouvrés ou pour être spécialement affectés à des paiements déterminés.</w:t>
            </w:r>
          </w:p>
          <w:p w:rsidRPr="000B3D8D" w:rsidR="00B94ED3" w:rsidP="00CD027A" w:rsidRDefault="00B94ED3" w14:paraId="39323DD5" w14:textId="77777777">
            <w:pPr>
              <w:widowControl/>
              <w:autoSpaceDE w:val="false"/>
              <w:jc w:val="both"/>
              <w:rPr>
                <w:rFonts w:ascii="Century Gothic" w:hAnsi="Century Gothic" w:cs="Calibri"/>
                <w:color w:val="000000"/>
                <w:sz w:val="14"/>
                <w:szCs w:val="14"/>
              </w:rPr>
            </w:pPr>
            <w:r w:rsidRPr="000B3D8D">
              <w:rPr>
                <w:rStyle w:val="lev"/>
                <w:rFonts w:ascii="Century Gothic" w:hAnsi="Century Gothic" w:cs="Calibri"/>
                <w:bCs/>
                <w:color w:val="000000"/>
                <w:sz w:val="14"/>
                <w:szCs w:val="14"/>
              </w:rPr>
              <w:t xml:space="preserve">Article L624-16 : </w:t>
            </w:r>
            <w:r w:rsidRPr="000B3D8D">
              <w:rPr>
                <w:rFonts w:ascii="Century Gothic" w:hAnsi="Century Gothic" w:cs="Calibri"/>
                <w:color w:val="000000"/>
                <w:sz w:val="14"/>
                <w:szCs w:val="14"/>
              </w:rPr>
              <w:t>Peuvent être revendiquées, à condition qu'elles se retrouvent en nature, les marchandises consignées au débiteur, soit à titre de dépôt, soit pour être vendues pour le compte du propriétaire.</w:t>
            </w:r>
            <w:r w:rsidRPr="000B3D8D">
              <w:rPr>
                <w:rFonts w:ascii="Century Gothic" w:hAnsi="Century Gothic" w:cs="Calibri"/>
                <w:color w:val="000000"/>
                <w:sz w:val="14"/>
                <w:szCs w:val="14"/>
              </w:rPr>
              <w:br/>
              <w:t>Peuvent également être revendiqués, s'ils se retrouvent en nature au moment de l'ouverture de la procédure, les biens vendus avec une clause de réserve de propriété. Cette clause doit avoir été convenue entre les parties dans un écrit au plus tard au moment de la livraison. Elle peut l'être dans un écrit régissant un ensemble d'opérations commerciales convenues entre les parties.</w:t>
            </w:r>
          </w:p>
        </w:tc>
        <w:tc>
          <w:tcPr>
            <w:tcW w:w="236" w:type="dxa"/>
          </w:tcPr>
          <w:p w:rsidRPr="000B3D8D" w:rsidR="00B94ED3" w:rsidP="00CD027A" w:rsidRDefault="00B94ED3" w14:paraId="577AE9B9" w14:textId="77777777">
            <w:pPr>
              <w:pStyle w:val="Corpsdetexte2"/>
              <w:spacing w:after="0" w:line="240" w:lineRule="auto"/>
              <w:jc w:val="both"/>
              <w:rPr>
                <w:rFonts w:ascii="Century Gothic" w:hAnsi="Century Gothic" w:cs="Calibri"/>
                <w:sz w:val="14"/>
                <w:szCs w:val="14"/>
              </w:rPr>
            </w:pPr>
          </w:p>
        </w:tc>
        <w:tc>
          <w:tcPr>
            <w:tcW w:w="5385" w:type="dxa"/>
          </w:tcPr>
          <w:p w:rsidRPr="000B3D8D" w:rsidR="00B94ED3" w:rsidP="00CD027A" w:rsidRDefault="00B94ED3" w14:paraId="216533C7" w14:textId="77777777">
            <w:pPr>
              <w:widowControl/>
              <w:autoSpaceDE w:val="false"/>
              <w:jc w:val="both"/>
              <w:rPr>
                <w:rFonts w:ascii="Century Gothic" w:hAnsi="Century Gothic" w:cs="Calibri"/>
                <w:color w:val="000000"/>
                <w:sz w:val="14"/>
                <w:szCs w:val="14"/>
              </w:rPr>
            </w:pPr>
            <w:r w:rsidRPr="000B3D8D">
              <w:rPr>
                <w:rFonts w:ascii="Century Gothic" w:hAnsi="Century Gothic" w:cs="Calibri"/>
                <w:color w:val="000000"/>
                <w:sz w:val="14"/>
                <w:szCs w:val="14"/>
              </w:rPr>
              <w:t>La revendication en nature peut s'exercer dans les mêmes conditions sur les biens mobiliers incorporés dans un autre bien lorsque la séparation de ces biens peut être effectuée sans qu'ils en subissent un dommage. La revendication en nature peut également s'exercer sur des biens fongibles lorsque des biens de même nature et de même qualité se trouvent entre les mains du débiteur ou de toute personne les détenant pour son compte.</w:t>
            </w:r>
            <w:r w:rsidRPr="000B3D8D">
              <w:rPr>
                <w:rFonts w:ascii="Century Gothic" w:hAnsi="Century Gothic" w:cs="Calibri"/>
                <w:color w:val="000000"/>
                <w:sz w:val="14"/>
                <w:szCs w:val="14"/>
              </w:rPr>
              <w:br/>
              <w:t>Dans tous les cas, il n'y a pas lieu à revendication si, sur décision du juge-commissaire, le prix est payé immédiatement. Le juge-commissaire peut également, avec le consentement du créancier requérant, accorder un délai de règlement. Le paiement du prix est alors assimilé à celui des créances mentionnées au I de l'article L. 622-17.</w:t>
            </w:r>
            <w:r w:rsidRPr="000B3D8D">
              <w:rPr>
                <w:rFonts w:ascii="Century Gothic" w:hAnsi="Century Gothic" w:cs="Calibri"/>
                <w:color w:val="000000"/>
                <w:sz w:val="14"/>
                <w:szCs w:val="14"/>
              </w:rPr>
              <w:br/>
            </w:r>
            <w:r w:rsidRPr="000B3D8D">
              <w:rPr>
                <w:rStyle w:val="lev"/>
                <w:rFonts w:ascii="Century Gothic" w:hAnsi="Century Gothic" w:cs="Calibri"/>
                <w:bCs/>
                <w:color w:val="000000"/>
                <w:sz w:val="14"/>
                <w:szCs w:val="14"/>
              </w:rPr>
              <w:t xml:space="preserve">Article L624-17 : </w:t>
            </w:r>
            <w:r w:rsidRPr="000B3D8D">
              <w:rPr>
                <w:rFonts w:ascii="Century Gothic" w:hAnsi="Century Gothic" w:cs="Calibri"/>
                <w:color w:val="000000"/>
                <w:sz w:val="14"/>
                <w:szCs w:val="14"/>
              </w:rPr>
              <w:t>L'administrateur avec l'accord du débiteur ou à défaut le débiteur après accord du mandataire judiciaire peut acquiescer à la demande en revendication ou en restitution d'un bien visé à la présente section. A défaut d'accord ou en cas de contestation, la demande est portée devant le juge-commissaire qui statue sur le sort du contrat, au vu des observations du créancier, du débiteur et du mandataire de justice saisi.</w:t>
            </w:r>
            <w:r w:rsidRPr="000B3D8D">
              <w:rPr>
                <w:rFonts w:ascii="Century Gothic" w:hAnsi="Century Gothic" w:cs="Calibri"/>
                <w:color w:val="000000"/>
                <w:sz w:val="14"/>
                <w:szCs w:val="14"/>
              </w:rPr>
              <w:br/>
            </w:r>
            <w:r w:rsidRPr="000B3D8D">
              <w:rPr>
                <w:rStyle w:val="lev"/>
                <w:rFonts w:ascii="Century Gothic" w:hAnsi="Century Gothic" w:cs="Calibri"/>
                <w:bCs/>
                <w:color w:val="000000"/>
                <w:sz w:val="14"/>
                <w:szCs w:val="14"/>
              </w:rPr>
              <w:t xml:space="preserve">Article L624-18 : </w:t>
            </w:r>
            <w:r w:rsidRPr="000B3D8D">
              <w:rPr>
                <w:rFonts w:ascii="Century Gothic" w:hAnsi="Century Gothic" w:cs="Calibri"/>
                <w:color w:val="000000"/>
                <w:sz w:val="14"/>
                <w:szCs w:val="14"/>
              </w:rPr>
              <w:t>Peut-être revendiqué le prix ou la partie du prix des biens visés à l'article L. 624-16 qui n'a été ni payé, ni réglé en valeur, ni compensé en compte courant entre le débiteur et l'acheteur à la date du jugement ouvrant la procédure. Peut-être revendiquée dans les mêmes conditions l'indemnité d'assurance subrogée au bien.</w:t>
            </w:r>
          </w:p>
          <w:p w:rsidRPr="000B3D8D" w:rsidR="00B94ED3" w:rsidP="00CD027A" w:rsidRDefault="00B94ED3" w14:paraId="42801D67" w14:textId="77777777">
            <w:pPr>
              <w:widowControl/>
              <w:autoSpaceDE w:val="false"/>
              <w:jc w:val="both"/>
              <w:rPr>
                <w:rFonts w:ascii="Century Gothic" w:hAnsi="Century Gothic" w:cs="Calibri"/>
                <w:sz w:val="14"/>
                <w:szCs w:val="14"/>
              </w:rPr>
            </w:pPr>
            <w:r w:rsidRPr="000B3D8D">
              <w:rPr>
                <w:rStyle w:val="lev"/>
                <w:rFonts w:ascii="Century Gothic" w:hAnsi="Century Gothic" w:cs="Calibri"/>
                <w:bCs/>
                <w:sz w:val="14"/>
                <w:szCs w:val="14"/>
              </w:rPr>
              <w:t xml:space="preserve">Article R 624-16 : </w:t>
            </w:r>
            <w:r w:rsidRPr="000B3D8D">
              <w:rPr>
                <w:rFonts w:ascii="Century Gothic" w:hAnsi="Century Gothic" w:cs="Calibri"/>
                <w:sz w:val="14"/>
                <w:szCs w:val="14"/>
              </w:rPr>
              <w:t>En cas de revendication du prix des biens en application de l'article L. 624-18 du code de commerce, les sommes correspondantes payées par le sous-acquéreur postérieurement à l'ouverture de la procédure doivent être versées par le débiteur entre les mains du mandataire judiciaire. Celui-ci les remet au créancier revendiquant à concurrence de sa créance.</w:t>
            </w:r>
          </w:p>
          <w:p w:rsidRPr="000B3D8D" w:rsidR="00B94ED3" w:rsidP="00CD027A" w:rsidRDefault="00B94ED3" w14:paraId="47F4D687" w14:textId="77777777">
            <w:pPr>
              <w:pStyle w:val="NormalWeb"/>
              <w:keepLines/>
              <w:widowControl w:val="false"/>
              <w:spacing w:after="0" w:afterAutospacing="false"/>
              <w:jc w:val="both"/>
              <w:rPr>
                <w:rFonts w:ascii="Century Gothic" w:hAnsi="Century Gothic" w:cs="Calibri"/>
                <w:b/>
                <w:sz w:val="14"/>
                <w:szCs w:val="14"/>
              </w:rPr>
            </w:pPr>
            <w:r w:rsidRPr="000B3D8D">
              <w:rPr>
                <w:rFonts w:ascii="Century Gothic" w:hAnsi="Century Gothic" w:cs="Calibri"/>
                <w:b/>
                <w:sz w:val="14"/>
                <w:szCs w:val="14"/>
                <w:u w:val="single"/>
              </w:rPr>
              <w:t>Nomination des contrôleurs</w:t>
            </w:r>
            <w:r w:rsidRPr="000B3D8D">
              <w:rPr>
                <w:rFonts w:ascii="Century Gothic" w:hAnsi="Century Gothic" w:cs="Calibri"/>
                <w:b/>
                <w:sz w:val="14"/>
                <w:szCs w:val="14"/>
              </w:rPr>
              <w:t> :</w:t>
            </w:r>
          </w:p>
          <w:p w:rsidRPr="000B3D8D" w:rsidR="00B94ED3" w:rsidP="00CD027A" w:rsidRDefault="00B94ED3" w14:paraId="16D6D848" w14:textId="77777777">
            <w:pPr>
              <w:pStyle w:val="NormalWeb"/>
              <w:keepLines/>
              <w:widowControl w:val="false"/>
              <w:spacing w:after="0" w:afterAutospacing="false"/>
              <w:jc w:val="both"/>
              <w:rPr>
                <w:rFonts w:ascii="Century Gothic" w:hAnsi="Century Gothic" w:cs="Calibri"/>
                <w:b/>
                <w:sz w:val="14"/>
                <w:szCs w:val="14"/>
              </w:rPr>
            </w:pPr>
          </w:p>
          <w:p w:rsidRPr="000B3D8D" w:rsidR="00B94ED3" w:rsidP="00CD027A" w:rsidRDefault="00B94ED3" w14:paraId="4B33F076" w14:textId="4F060FCE">
            <w:pPr>
              <w:widowControl/>
              <w:autoSpaceDE w:val="false"/>
              <w:jc w:val="both"/>
              <w:rPr>
                <w:rFonts w:ascii="Century Gothic" w:hAnsi="Century Gothic" w:cs="Calibri"/>
                <w:sz w:val="14"/>
                <w:szCs w:val="14"/>
                <w:lang w:bidi="ar-SA"/>
              </w:rPr>
            </w:pPr>
            <w:r w:rsidRPr="000B3D8D">
              <w:rPr>
                <w:rFonts w:ascii="Century Gothic" w:hAnsi="Century Gothic" w:cs="Calibri"/>
                <w:b/>
                <w:sz w:val="14"/>
                <w:szCs w:val="14"/>
              </w:rPr>
              <w:t>Article L.621-10</w:t>
            </w:r>
            <w:r w:rsidRPr="000B3D8D">
              <w:rPr>
                <w:rFonts w:ascii="Century Gothic" w:hAnsi="Century Gothic" w:cs="Calibri"/>
                <w:sz w:val="14"/>
                <w:szCs w:val="14"/>
              </w:rPr>
              <w:t xml:space="preserve"> : </w:t>
            </w:r>
            <w:r w:rsidRPr="000B3D8D">
              <w:rPr>
                <w:rFonts w:ascii="Century Gothic" w:hAnsi="Century Gothic" w:cs="Calibri"/>
                <w:sz w:val="14"/>
                <w:szCs w:val="14"/>
                <w:lang w:bidi="ar-SA"/>
              </w:rPr>
              <w:t xml:space="preserve">Le juge-commissaire désigne un à cinq contrôleurs parmi les </w:t>
            </w:r>
            <w:r w:rsidRPr="000B3D8D" w:rsidR="008A1F89">
              <w:rPr>
                <w:rFonts w:ascii="Century Gothic" w:hAnsi="Century Gothic" w:cs="Calibri"/>
                <w:sz w:val="14"/>
                <w:szCs w:val="14"/>
                <w:lang w:bidi="ar-SA"/>
              </w:rPr>
              <w:t>créanciers qui</w:t>
            </w:r>
            <w:r w:rsidRPr="000B3D8D">
              <w:rPr>
                <w:rFonts w:ascii="Century Gothic" w:hAnsi="Century Gothic" w:cs="Calibri"/>
                <w:sz w:val="14"/>
                <w:szCs w:val="14"/>
                <w:lang w:bidi="ar-SA"/>
              </w:rPr>
              <w:t xml:space="preserve"> lui en font la demande. Lorsqu’il désigne plusieurs contrôleurs, il veille à ce qu’au moins l’un d’entre eux soit choisi parmi les créanciers titulaires de sûretés et qu’un autre soit choisi parmi les </w:t>
            </w:r>
            <w:r w:rsidRPr="000B3D8D" w:rsidR="008A1F89">
              <w:rPr>
                <w:rFonts w:ascii="Century Gothic" w:hAnsi="Century Gothic" w:cs="Calibri"/>
                <w:sz w:val="14"/>
                <w:szCs w:val="14"/>
                <w:lang w:bidi="ar-SA"/>
              </w:rPr>
              <w:t>créanciers chirographaires</w:t>
            </w:r>
            <w:r w:rsidRPr="000B3D8D">
              <w:rPr>
                <w:rFonts w:ascii="Century Gothic" w:hAnsi="Century Gothic" w:cs="Calibri"/>
                <w:sz w:val="14"/>
                <w:szCs w:val="14"/>
                <w:lang w:bidi="ar-SA"/>
              </w:rPr>
              <w:t>.</w:t>
            </w:r>
          </w:p>
          <w:p w:rsidRPr="000B3D8D" w:rsidR="00B94ED3" w:rsidP="00CD027A" w:rsidRDefault="00B94ED3" w14:paraId="229CC273" w14:textId="77777777">
            <w:pPr>
              <w:widowControl/>
              <w:autoSpaceDE w:val="false"/>
              <w:jc w:val="both"/>
              <w:rPr>
                <w:rFonts w:ascii="Century Gothic" w:hAnsi="Century Gothic" w:cs="Calibri"/>
                <w:sz w:val="14"/>
                <w:szCs w:val="14"/>
                <w:lang w:bidi="ar-SA"/>
              </w:rPr>
            </w:pPr>
            <w:r w:rsidRPr="000B3D8D">
              <w:rPr>
                <w:rFonts w:ascii="Century Gothic" w:hAnsi="Century Gothic" w:cs="Calibri"/>
                <w:sz w:val="14"/>
                <w:szCs w:val="14"/>
                <w:lang w:bidi="ar-SA"/>
              </w:rPr>
              <w:t xml:space="preserve">Aucun parent ou allié jusqu’au quatrième degré inclusivement du chef d’entreprise ou des dirigeants de la personne morale, </w:t>
            </w:r>
            <w:r w:rsidRPr="000B3D8D">
              <w:rPr>
                <w:rFonts w:ascii="Century Gothic" w:hAnsi="Century Gothic" w:cs="Calibri"/>
                <w:bCs/>
                <w:sz w:val="14"/>
                <w:szCs w:val="14"/>
                <w:lang w:bidi="ar-SA"/>
              </w:rPr>
              <w:t>ni aucune personne détenant directement ou indirectement tout ou partie du capital de la personne morale débitrice ou dont le capital est détenu en tout ou partie par cette même personne</w:t>
            </w:r>
            <w:r w:rsidRPr="000B3D8D">
              <w:rPr>
                <w:rFonts w:ascii="Century Gothic" w:hAnsi="Century Gothic" w:cs="Calibri"/>
                <w:sz w:val="14"/>
                <w:szCs w:val="14"/>
                <w:lang w:bidi="ar-SA"/>
              </w:rPr>
              <w:t>, ne peut être nommé contrôleur ou représentant d’une personne morale désignée comme contrôleur.</w:t>
            </w:r>
          </w:p>
          <w:p w:rsidRPr="000B3D8D" w:rsidR="00B94ED3" w:rsidP="00CD027A" w:rsidRDefault="00B94ED3" w14:paraId="72DC789C" w14:textId="77777777">
            <w:pPr>
              <w:widowControl/>
              <w:autoSpaceDE w:val="false"/>
              <w:jc w:val="both"/>
              <w:rPr>
                <w:rFonts w:ascii="Century Gothic" w:hAnsi="Century Gothic" w:cs="Calibri"/>
                <w:bCs/>
                <w:sz w:val="14"/>
                <w:szCs w:val="14"/>
                <w:lang w:bidi="ar-SA"/>
              </w:rPr>
            </w:pPr>
            <w:r w:rsidRPr="000B3D8D">
              <w:rPr>
                <w:rFonts w:ascii="Century Gothic" w:hAnsi="Century Gothic" w:cs="Calibri"/>
                <w:bCs/>
                <w:sz w:val="14"/>
                <w:szCs w:val="14"/>
                <w:lang w:bidi="ar-SA"/>
              </w:rPr>
              <w:t>Lorsque le débiteur exerce une profession libérale, soumise à un statut législatif ou réglementaire ou dont le titre est protégé, l’ordre professionnel ou l’autorité compétente dont, le cas échéant, il relève est d’office contrôleur. Dans ce cas, le juge-commissaire ne peut désigner plus de quatre contrôleurs.</w:t>
            </w:r>
          </w:p>
          <w:p w:rsidRPr="000B3D8D" w:rsidR="00B94ED3" w:rsidP="00CD027A" w:rsidRDefault="00B94ED3" w14:paraId="0F0BF9C7" w14:textId="77777777">
            <w:pPr>
              <w:widowControl/>
              <w:autoSpaceDE w:val="false"/>
              <w:jc w:val="both"/>
              <w:rPr>
                <w:rFonts w:ascii="Century Gothic" w:hAnsi="Century Gothic" w:cs="Calibri"/>
                <w:bCs/>
                <w:sz w:val="14"/>
                <w:szCs w:val="14"/>
              </w:rPr>
            </w:pPr>
            <w:r w:rsidRPr="000B3D8D">
              <w:rPr>
                <w:rFonts w:ascii="Century Gothic" w:hAnsi="Century Gothic" w:cs="Calibri"/>
                <w:bCs/>
                <w:sz w:val="14"/>
                <w:szCs w:val="14"/>
                <w:lang w:bidi="ar-SA"/>
              </w:rPr>
              <w:t xml:space="preserve">La responsabilité du contrôleur n’est engagée qu’en cas de faute lourde. Il peut se faire représenter par l’un de ses préposés ou par ministère d’avocat. Tout créancier nommé contrôleur peut être révoqué par le tribunal à la demande du </w:t>
            </w:r>
            <w:r w:rsidRPr="000B3D8D">
              <w:rPr>
                <w:rFonts w:ascii="Century Gothic" w:hAnsi="Century Gothic" w:cs="Calibri"/>
                <w:bCs/>
                <w:sz w:val="14"/>
                <w:szCs w:val="14"/>
              </w:rPr>
              <w:t>ministère public.</w:t>
            </w:r>
          </w:p>
          <w:p w:rsidRPr="000B3D8D" w:rsidR="00B94ED3" w:rsidP="00CD027A" w:rsidRDefault="00B94ED3" w14:paraId="5979F992" w14:textId="77777777">
            <w:pPr>
              <w:widowControl/>
              <w:autoSpaceDE w:val="false"/>
              <w:jc w:val="both"/>
              <w:rPr>
                <w:rFonts w:ascii="Century Gothic" w:hAnsi="Century Gothic" w:cs="Calibri"/>
                <w:bCs/>
                <w:sz w:val="14"/>
                <w:szCs w:val="14"/>
              </w:rPr>
            </w:pPr>
          </w:p>
          <w:p w:rsidRPr="000B3D8D" w:rsidR="00B94ED3" w:rsidP="00CD027A" w:rsidRDefault="00B94ED3" w14:paraId="37682B4F" w14:textId="77777777">
            <w:pPr>
              <w:widowControl/>
              <w:autoSpaceDE w:val="false"/>
              <w:jc w:val="both"/>
              <w:rPr>
                <w:rFonts w:ascii="Century Gothic" w:hAnsi="Century Gothic" w:cs="Calibri"/>
                <w:sz w:val="14"/>
                <w:szCs w:val="14"/>
              </w:rPr>
            </w:pPr>
            <w:r w:rsidRPr="000B3D8D">
              <w:rPr>
                <w:rFonts w:ascii="Century Gothic" w:hAnsi="Century Gothic" w:cs="Calibri"/>
                <w:b/>
                <w:bCs/>
                <w:sz w:val="14"/>
                <w:szCs w:val="14"/>
              </w:rPr>
              <w:t xml:space="preserve">Article R.621-24 : </w:t>
            </w:r>
            <w:r w:rsidRPr="000B3D8D">
              <w:rPr>
                <w:rFonts w:ascii="Century Gothic" w:hAnsi="Century Gothic" w:cs="Calibri"/>
                <w:sz w:val="14"/>
                <w:szCs w:val="14"/>
              </w:rPr>
              <w:t>Le créancier demandant à être nommé contrôleur en application du premier alinéa de l'</w:t>
            </w:r>
            <w:hyperlink w:history="true" r:id="rId7">
              <w:r w:rsidRPr="000B3D8D">
                <w:rPr>
                  <w:rFonts w:ascii="Century Gothic" w:hAnsi="Century Gothic" w:cs="Calibri"/>
                  <w:sz w:val="14"/>
                  <w:szCs w:val="14"/>
                </w:rPr>
                <w:t>article L. 621-10</w:t>
              </w:r>
            </w:hyperlink>
            <w:r w:rsidRPr="000B3D8D">
              <w:rPr>
                <w:rFonts w:ascii="Century Gothic" w:hAnsi="Century Gothic" w:cs="Calibri"/>
                <w:sz w:val="14"/>
                <w:szCs w:val="14"/>
              </w:rPr>
              <w:t xml:space="preserve"> doit en faire la déclaration au greffe. Il indique le montant de sa ou de ses créances, ainsi que, le cas échéant, la nature des sûretés dont il est titulaire.</w:t>
            </w:r>
            <w:r w:rsidRPr="000B3D8D">
              <w:rPr>
                <w:rFonts w:ascii="Century Gothic" w:hAnsi="Century Gothic" w:cs="Calibri"/>
                <w:sz w:val="14"/>
                <w:szCs w:val="14"/>
              </w:rPr>
              <w:br/>
              <w:t>Aucun contrôleur ne peut être désigné par le juge-commissaire avant l'expiration d'un délai de vingt jours à compter du prononcé du jugement d'ouverture de la procédure.</w:t>
            </w:r>
            <w:r w:rsidRPr="000B3D8D">
              <w:rPr>
                <w:rFonts w:ascii="Century Gothic" w:hAnsi="Century Gothic" w:cs="Calibri"/>
                <w:sz w:val="14"/>
                <w:szCs w:val="14"/>
              </w:rPr>
              <w:br/>
              <w:t>Le cas échéant, l'ordre professionnel ou l'autorité compétente dont relève le débiteur déclare au greffe le nom de la personne qu'il a désignée pour le représenter dans sa fonction de contrôleur. En l'absence de cette déclaration, son représentant légal exerce cette fonction.</w:t>
            </w:r>
            <w:r w:rsidRPr="000B3D8D">
              <w:rPr>
                <w:rFonts w:ascii="Century Gothic" w:hAnsi="Century Gothic" w:cs="Calibri"/>
                <w:sz w:val="14"/>
                <w:szCs w:val="14"/>
              </w:rPr>
              <w:br/>
              <w:t>Le créancier qui demande à être désigné contrôleur atteste sur l'honneur qu'il remplit les conditions prévues au deuxième alinéa de l'</w:t>
            </w:r>
            <w:hyperlink w:history="true" r:id="rId8">
              <w:r w:rsidRPr="000B3D8D">
                <w:rPr>
                  <w:rFonts w:ascii="Century Gothic" w:hAnsi="Century Gothic" w:cs="Calibri"/>
                  <w:sz w:val="14"/>
                  <w:szCs w:val="14"/>
                </w:rPr>
                <w:t>article L. 621-10</w:t>
              </w:r>
            </w:hyperlink>
            <w:r w:rsidRPr="000B3D8D">
              <w:rPr>
                <w:rFonts w:ascii="Century Gothic" w:hAnsi="Century Gothic" w:cs="Calibri"/>
                <w:sz w:val="14"/>
                <w:szCs w:val="14"/>
              </w:rPr>
              <w:t>.</w:t>
            </w:r>
          </w:p>
          <w:p w:rsidRPr="000B3D8D" w:rsidR="00B94ED3" w:rsidP="00CD027A" w:rsidRDefault="00B94ED3" w14:paraId="3252444D" w14:textId="77777777">
            <w:pPr>
              <w:widowControl/>
              <w:autoSpaceDE w:val="false"/>
              <w:jc w:val="both"/>
              <w:rPr>
                <w:rFonts w:ascii="Century Gothic" w:hAnsi="Century Gothic" w:cs="Calibri"/>
                <w:sz w:val="14"/>
                <w:szCs w:val="14"/>
              </w:rPr>
            </w:pPr>
          </w:p>
          <w:p w:rsidRPr="000B3D8D" w:rsidR="00B94ED3" w:rsidP="00B94ED3" w:rsidRDefault="00B94ED3" w14:paraId="19130635" w14:textId="77777777">
            <w:pPr>
              <w:widowControl/>
              <w:numPr>
                <w:ilvl w:val="0"/>
                <w:numId w:val="19"/>
              </w:numPr>
              <w:autoSpaceDE w:val="false"/>
              <w:jc w:val="both"/>
              <w:rPr>
                <w:rFonts w:ascii="Century Gothic" w:hAnsi="Century Gothic" w:cs="Calibri"/>
                <w:sz w:val="14"/>
                <w:szCs w:val="14"/>
              </w:rPr>
            </w:pPr>
            <w:r w:rsidRPr="000B3D8D">
              <w:rPr>
                <w:rFonts w:ascii="Century Gothic" w:hAnsi="Century Gothic" w:cs="Calibri"/>
                <w:sz w:val="14"/>
                <w:szCs w:val="14"/>
              </w:rPr>
              <w:t>Il ne vous sera pas délivré de récépissé de votre déclaration de créance, à défaut d’y joindre une copie de votre créance et une enveloppe affranchie à votre adresse.</w:t>
            </w:r>
          </w:p>
          <w:p w:rsidRPr="000B3D8D" w:rsidR="00B94ED3" w:rsidP="00CD027A" w:rsidRDefault="00B94ED3" w14:paraId="09E1D6A1" w14:textId="77777777">
            <w:pPr>
              <w:widowControl/>
              <w:autoSpaceDE w:val="false"/>
              <w:ind w:left="720"/>
              <w:jc w:val="both"/>
              <w:rPr>
                <w:rFonts w:ascii="Century Gothic" w:hAnsi="Century Gothic" w:cs="Calibri"/>
                <w:sz w:val="14"/>
                <w:szCs w:val="14"/>
              </w:rPr>
            </w:pPr>
          </w:p>
          <w:p w:rsidRPr="000B3D8D" w:rsidR="00B94ED3" w:rsidP="00CD027A" w:rsidRDefault="008A1F89" w14:paraId="37F39AE2" w14:textId="71F89992">
            <w:pPr>
              <w:widowControl/>
              <w:autoSpaceDE w:val="false"/>
              <w:jc w:val="both"/>
              <w:rPr>
                <w:rFonts w:ascii="Century Gothic" w:hAnsi="Century Gothic" w:cs="Calibri"/>
                <w:b/>
                <w:sz w:val="14"/>
                <w:szCs w:val="14"/>
              </w:rPr>
            </w:pPr>
            <w:r>
              <w:rPr>
                <w:rFonts w:ascii="Century Gothic" w:hAnsi="Century Gothic" w:cs="Calibri"/>
                <w:b/>
                <w:sz w:val="14"/>
                <w:szCs w:val="14"/>
              </w:rPr>
              <w:t>Le</w:t>
            </w:r>
            <w:r w:rsidRPr="000B3D8D" w:rsidR="00B94ED3">
              <w:rPr>
                <w:rFonts w:ascii="Century Gothic" w:hAnsi="Century Gothic" w:cs="Calibri"/>
                <w:b/>
                <w:sz w:val="14"/>
                <w:szCs w:val="14"/>
              </w:rPr>
              <w:t xml:space="preserve"> 15 mars 2023</w:t>
            </w:r>
          </w:p>
          <w:p w:rsidRPr="000B3D8D" w:rsidR="00B94ED3" w:rsidP="00CD027A" w:rsidRDefault="00B94ED3" w14:paraId="17899304" w14:textId="77777777">
            <w:pPr>
              <w:widowControl/>
              <w:autoSpaceDE w:val="false"/>
              <w:jc w:val="both"/>
              <w:rPr>
                <w:rFonts w:ascii="Century Gothic" w:hAnsi="Century Gothic" w:cs="Calibri"/>
                <w:sz w:val="14"/>
                <w:szCs w:val="14"/>
              </w:rPr>
            </w:pPr>
          </w:p>
        </w:tc>
      </w:tr>
    </w:tbl>
    <w:p w:rsidRPr="005F7586" w:rsidR="00B94ED3" w:rsidP="00B94ED3" w:rsidRDefault="00B94ED3" w14:paraId="2306558E" w14:textId="77777777">
      <w:pPr>
        <w:pStyle w:val="Corpsdetexte2"/>
        <w:spacing w:after="0" w:line="240" w:lineRule="auto"/>
        <w:jc w:val="both"/>
        <w:rPr>
          <w:rFonts w:ascii="Century Gothic" w:hAnsi="Century Gothic" w:cs="Calibri"/>
          <w:sz w:val="16"/>
          <w:szCs w:val="16"/>
        </w:rPr>
      </w:pPr>
    </w:p>
    <w:p w:rsidRPr="005F7586" w:rsidR="00BA5214" w:rsidP="00B94ED3" w:rsidRDefault="00B94ED3" w14:paraId="76BF8F59" w14:textId="3218832D">
      <w:pPr>
        <w:pStyle w:val="Corpsdetexte2"/>
        <w:spacing w:after="0" w:line="240" w:lineRule="auto"/>
        <w:jc w:val="both"/>
        <w:rPr>
          <w:rFonts w:ascii="Century Gothic" w:hAnsi="Century Gothic" w:cs="Calibri"/>
          <w:b/>
          <w:sz w:val="28"/>
          <w:szCs w:val="28"/>
        </w:rPr>
      </w:pPr>
      <w:r w:rsidRPr="005F7586">
        <w:rPr>
          <w:rFonts w:ascii="Century Gothic" w:hAnsi="Century Gothic" w:cs="Calibri"/>
          <w:sz w:val="16"/>
          <w:szCs w:val="16"/>
        </w:rPr>
        <w:br w:type="page"/>
      </w:r>
      <w:r w:rsidRPr="005F7586" w:rsidR="00BA5214">
        <w:rPr>
          <w:rFonts w:ascii="Century Gothic" w:hAnsi="Century Gothic" w:cs="Calibri"/>
          <w:b/>
          <w:sz w:val="28"/>
          <w:szCs w:val="28"/>
        </w:rPr>
        <w:lastRenderedPageBreak/>
        <w:t>DECLARATION DE CREANCES</w:t>
      </w:r>
    </w:p>
    <w:p w:rsidRPr="005F7586" w:rsidR="00BA5214" w:rsidP="00BA5214" w:rsidRDefault="00BA5214" w14:paraId="2DEB40EB" w14:textId="6D23EA89">
      <w:pPr>
        <w:rPr>
          <w:rFonts w:ascii="Century Gothic" w:hAnsi="Century Gothic" w:cs="Calibri"/>
          <w:sz w:val="24"/>
          <w:szCs w:val="24"/>
        </w:rPr>
      </w:pPr>
      <w:r w:rsidRPr="005F7586">
        <w:rPr>
          <w:rFonts w:ascii="Century Gothic" w:hAnsi="Century Gothic" w:cs="Calibri"/>
          <w:sz w:val="24"/>
          <w:szCs w:val="24"/>
        </w:rPr>
        <w:t xml:space="preserve">A </w:t>
      </w:r>
      <w:r w:rsidR="00C10B00">
        <w:rPr>
          <w:rFonts w:ascii="Century Gothic" w:hAnsi="Century Gothic" w:cs="Calibri"/>
          <w:sz w:val="24"/>
          <w:szCs w:val="24"/>
        </w:rPr>
        <w:t>transmettre</w:t>
      </w:r>
      <w:r w:rsidRPr="005F7586">
        <w:rPr>
          <w:rFonts w:ascii="Century Gothic" w:hAnsi="Century Gothic" w:cs="Calibri"/>
          <w:sz w:val="24"/>
          <w:szCs w:val="24"/>
        </w:rPr>
        <w:t xml:space="preserve"> au Mandataire Judiciaire </w:t>
      </w:r>
    </w:p>
    <w:p w:rsidRPr="005F7586" w:rsidR="008B213F" w:rsidP="00BA5214" w:rsidRDefault="008B213F" w14:paraId="19DBABF6" w14:textId="77777777">
      <w:pPr>
        <w:rPr>
          <w:rFonts w:ascii="Century Gothic" w:hAnsi="Century Gothic" w:cs="Calibri"/>
          <w:sz w:val="16"/>
          <w:szCs w:val="16"/>
        </w:rPr>
      </w:pPr>
    </w:p>
    <w:p w:rsidRPr="005F7586" w:rsidR="00BA5214" w:rsidP="00200126" w:rsidRDefault="00BA5214" w14:paraId="1B60B71D" w14:textId="77777777">
      <w:pPr>
        <w:tabs>
          <w:tab w:val="left" w:pos="284"/>
        </w:tabs>
        <w:rPr>
          <w:rFonts w:ascii="Century Gothic" w:hAnsi="Century Gothic" w:cs="Calibri"/>
        </w:rPr>
      </w:pPr>
    </w:p>
    <w:tbl>
      <w:tblPr>
        <w:tblStyle w:val="Grilledutableau"/>
        <w:tblpPr w:leftFromText="141" w:rightFromText="141" w:vertAnchor="text" w:tblpX="392" w:tblpY="1"/>
        <w:tblOverlap w:val="never"/>
        <w:tblW w:w="0" w:type="auto"/>
        <w:tblLayout w:type="fixed"/>
        <w:tblLook w:firstRow="1" w:lastRow="0" w:firstColumn="1" w:lastColumn="0" w:noHBand="0" w:noVBand="1" w:val="04A0"/>
      </w:tblPr>
      <w:tblGrid>
        <w:gridCol w:w="4901"/>
      </w:tblGrid>
      <w:tr w:rsidRPr="005F7586" w:rsidR="00A80724" w:rsidTr="00261140" w14:paraId="05388353" w14:textId="77777777">
        <w:trPr>
          <w:trHeight w:val="361"/>
        </w:trPr>
        <w:tc>
          <w:tcPr>
            <w:tcW w:w="4901" w:type="dxa"/>
            <w:shd w:val="clear" w:color="auto" w:fill="F2F2F2" w:themeFill="background1" w:themeFillShade="F2"/>
          </w:tcPr>
          <w:p w:rsidRPr="005F7586" w:rsidR="00722923" w:rsidP="00722923" w:rsidRDefault="00722923" w14:paraId="685D9698" w14:textId="77777777">
            <w:pPr>
              <w:rPr>
                <w:rFonts w:ascii="Century Gothic" w:hAnsi="Century Gothic" w:cs="Calibri"/>
                <w:b/>
                <w:u w:val="single"/>
              </w:rPr>
            </w:pPr>
            <w:r w:rsidRPr="005F7586">
              <w:rPr>
                <w:rFonts w:ascii="Century Gothic" w:hAnsi="Century Gothic" w:cs="Calibri"/>
                <w:b/>
                <w:u w:val="single"/>
              </w:rPr>
              <w:t>MANDATAIRE DU CREANCIER</w:t>
            </w:r>
          </w:p>
          <w:p w:rsidRPr="005F7586" w:rsidR="00722923" w:rsidP="00722923" w:rsidRDefault="00722923" w14:paraId="696734DC" w14:textId="77777777">
            <w:pPr>
              <w:rPr>
                <w:rFonts w:ascii="Century Gothic" w:hAnsi="Century Gothic" w:cs="Calibri"/>
                <w:sz w:val="16"/>
                <w:szCs w:val="16"/>
              </w:rPr>
            </w:pPr>
            <w:r w:rsidRPr="005F7586">
              <w:rPr>
                <w:rFonts w:ascii="Century Gothic" w:hAnsi="Century Gothic" w:cs="Calibri"/>
                <w:sz w:val="16"/>
                <w:szCs w:val="16"/>
              </w:rPr>
              <w:t>(nom, qualité, adresse et références)</w:t>
            </w:r>
          </w:p>
          <w:p w:rsidRPr="005F7586" w:rsidR="00A80724" w:rsidP="00200126" w:rsidRDefault="00A80724" w14:paraId="0AF560D6" w14:textId="77777777">
            <w:pPr>
              <w:rPr>
                <w:rFonts w:ascii="Century Gothic" w:hAnsi="Century Gothic" w:cs="Calibri"/>
              </w:rPr>
            </w:pPr>
          </w:p>
          <w:p w:rsidR="00A80724" w:rsidP="00200126" w:rsidRDefault="00A80724" w14:paraId="076CDC58" w14:textId="656484A0">
            <w:pPr>
              <w:rPr>
                <w:rFonts w:ascii="Century Gothic" w:hAnsi="Century Gothic" w:cs="Calibri"/>
              </w:rPr>
            </w:pPr>
          </w:p>
          <w:p w:rsidR="000B3D8D" w:rsidP="00200126" w:rsidRDefault="000B3D8D" w14:paraId="5C40CD22" w14:textId="77777777">
            <w:pPr>
              <w:rPr>
                <w:rFonts w:ascii="Century Gothic" w:hAnsi="Century Gothic" w:cs="Calibri"/>
              </w:rPr>
            </w:pPr>
          </w:p>
          <w:p w:rsidR="000B3D8D" w:rsidP="00200126" w:rsidRDefault="000B3D8D" w14:paraId="21C31517" w14:textId="77777777">
            <w:pPr>
              <w:rPr>
                <w:rFonts w:ascii="Century Gothic" w:hAnsi="Century Gothic" w:cs="Calibri"/>
              </w:rPr>
            </w:pPr>
          </w:p>
          <w:p w:rsidRPr="005F7586" w:rsidR="000B3D8D" w:rsidP="00200126" w:rsidRDefault="000B3D8D" w14:paraId="0290B9E7" w14:textId="764DCD1F">
            <w:pPr>
              <w:rPr>
                <w:rFonts w:ascii="Century Gothic" w:hAnsi="Century Gothic" w:cs="Calibri"/>
              </w:rPr>
            </w:pPr>
          </w:p>
        </w:tc>
      </w:tr>
    </w:tbl>
    <w:tbl>
      <w:tblPr>
        <w:tblStyle w:val="Grilledutableau"/>
        <w:tblW w:w="0" w:type="auto"/>
        <w:tblInd w:w="446" w:type="dxa"/>
        <w:tblLayout w:type="fixed"/>
        <w:tblLook w:firstRow="1" w:lastRow="0" w:firstColumn="1" w:lastColumn="0" w:noHBand="0" w:noVBand="1" w:val="04A0"/>
      </w:tblPr>
      <w:tblGrid>
        <w:gridCol w:w="4765"/>
      </w:tblGrid>
      <w:tr w:rsidRPr="005F7586" w:rsidR="00A80724" w:rsidTr="00261140" w14:paraId="5481FF0F" w14:textId="77777777">
        <w:trPr>
          <w:trHeight w:val="341"/>
        </w:trPr>
        <w:tc>
          <w:tcPr>
            <w:tcW w:w="4765" w:type="dxa"/>
            <w:shd w:val="clear" w:color="auto" w:fill="F2F2F2" w:themeFill="background1" w:themeFillShade="F2"/>
          </w:tcPr>
          <w:p w:rsidRPr="005F7586" w:rsidR="00A80724" w:rsidP="00A80724" w:rsidRDefault="00200126" w14:paraId="6412C7AB" w14:textId="77777777">
            <w:pPr>
              <w:rPr>
                <w:rFonts w:ascii="Century Gothic" w:hAnsi="Century Gothic" w:cs="Calibri"/>
                <w:b/>
                <w:u w:val="single"/>
              </w:rPr>
            </w:pPr>
            <w:r w:rsidRPr="005F7586">
              <w:rPr>
                <w:rFonts w:ascii="Century Gothic" w:hAnsi="Century Gothic" w:cs="Calibri"/>
                <w:b/>
                <w:u w:val="single"/>
              </w:rPr>
              <w:t>CREANCIER</w:t>
            </w:r>
          </w:p>
          <w:p w:rsidRPr="005F7586" w:rsidR="00A80724" w:rsidP="00A80724" w:rsidRDefault="00722923" w14:paraId="3F82C4A7" w14:textId="77777777">
            <w:pPr>
              <w:rPr>
                <w:rFonts w:ascii="Century Gothic" w:hAnsi="Century Gothic" w:cs="Calibri"/>
                <w:sz w:val="16"/>
                <w:szCs w:val="16"/>
              </w:rPr>
            </w:pPr>
            <w:r w:rsidRPr="005F7586">
              <w:rPr>
                <w:rFonts w:ascii="Century Gothic" w:hAnsi="Century Gothic" w:cs="Calibri"/>
                <w:sz w:val="16"/>
                <w:szCs w:val="16"/>
              </w:rPr>
              <w:t xml:space="preserve">(nom, </w:t>
            </w:r>
            <w:r w:rsidRPr="005F7586" w:rsidR="00A80724">
              <w:rPr>
                <w:rFonts w:ascii="Century Gothic" w:hAnsi="Century Gothic" w:cs="Calibri"/>
                <w:sz w:val="16"/>
                <w:szCs w:val="16"/>
              </w:rPr>
              <w:t>adresse et références)</w:t>
            </w:r>
          </w:p>
          <w:p w:rsidRPr="005F7586" w:rsidR="00A80724" w:rsidP="00A80724" w:rsidRDefault="00E77E23" w14:paraId="16BF078C" w14:textId="77777777">
            <w:pPr>
              <w:rPr>
                <w:rFonts w:ascii="Century Gothic" w:hAnsi="Century Gothic" w:cs="Calibri"/>
                <w:b/>
              </w:rPr>
            </w:pPr>
            <w:r w:rsidRPr="005F7586">
              <w:rPr>
                <w:rFonts w:ascii="Century Gothic" w:hAnsi="Century Gothic" w:cs="Calibri"/>
                <w:b/>
              </w:rPr>
              <w:t>AG2R LA MONDIALE</w:t>
              <w:br/>
              <w:t>CENTRE DE GESTION LA VILLETTE</w:t>
              <w:br/>
              <w:t>170 BOULEVARD DE LA VILLETTE</w:t>
              <w:br/>
              <w:t>75918 PARIS CEDEX 19</w:t>
            </w:r>
          </w:p>
          <w:p w:rsidR="006304A7" w:rsidP="00A80724" w:rsidRDefault="006304A7" w14:paraId="39914746" w14:textId="3D0A777B">
            <w:pPr>
              <w:rPr>
                <w:rFonts w:ascii="Century Gothic" w:hAnsi="Century Gothic" w:cs="Calibri"/>
              </w:rPr>
            </w:pPr>
          </w:p>
          <w:p w:rsidR="000B3D8D" w:rsidP="00A80724" w:rsidRDefault="000B3D8D" w14:paraId="55967343" w14:textId="77777777">
            <w:pPr>
              <w:rPr>
                <w:rFonts w:ascii="Century Gothic" w:hAnsi="Century Gothic" w:cs="Calibri"/>
              </w:rPr>
            </w:pPr>
          </w:p>
          <w:p w:rsidRPr="005F7586" w:rsidR="000B3D8D" w:rsidP="00A80724" w:rsidRDefault="000B3D8D" w14:paraId="0D287D88" w14:textId="77777777">
            <w:pPr>
              <w:rPr>
                <w:rFonts w:ascii="Century Gothic" w:hAnsi="Century Gothic" w:cs="Calibri"/>
              </w:rPr>
            </w:pPr>
          </w:p>
          <w:p w:rsidRPr="005F7586" w:rsidR="00A80724" w:rsidP="00A80724" w:rsidRDefault="00A80724" w14:paraId="156811DD" w14:textId="77777777">
            <w:pPr>
              <w:rPr>
                <w:rFonts w:ascii="Century Gothic" w:hAnsi="Century Gothic" w:cs="Calibri"/>
              </w:rPr>
            </w:pPr>
          </w:p>
        </w:tc>
      </w:tr>
    </w:tbl>
    <w:p w:rsidRPr="005F7586" w:rsidR="0017744F" w:rsidP="00BA5214" w:rsidRDefault="00A80724" w14:paraId="1A22CFFF" w14:textId="77777777">
      <w:pPr>
        <w:rPr>
          <w:rFonts w:ascii="Century Gothic" w:hAnsi="Century Gothic" w:cs="Calibri"/>
        </w:rPr>
      </w:pPr>
      <w:r w:rsidRPr="005F7586">
        <w:rPr>
          <w:rFonts w:ascii="Century Gothic" w:hAnsi="Century Gothic" w:cs="Calibri"/>
        </w:rPr>
        <w:br w:type="textWrapping" w:clear="all"/>
        <w:t xml:space="preserve">  </w:t>
      </w:r>
    </w:p>
    <w:tbl>
      <w:tblPr>
        <w:tblStyle w:val="Grilledutableau"/>
        <w:tblpPr w:leftFromText="141" w:rightFromText="141" w:vertAnchor="text" w:tblpX="358" w:tblpY="1"/>
        <w:tblOverlap w:val="never"/>
        <w:tblW w:w="0" w:type="auto"/>
        <w:tblLayout w:type="fixed"/>
        <w:tblLook w:firstRow="1" w:lastRow="0" w:firstColumn="1" w:lastColumn="0" w:noHBand="0" w:noVBand="1" w:val="04A0"/>
      </w:tblPr>
      <w:tblGrid>
        <w:gridCol w:w="4938"/>
      </w:tblGrid>
      <w:tr w:rsidRPr="005F7586" w:rsidR="00A80724" w:rsidTr="00D87D7E" w14:paraId="054D33CF" w14:textId="77777777">
        <w:trPr>
          <w:trHeight w:val="1270"/>
        </w:trPr>
        <w:tc>
          <w:tcPr>
            <w:tcW w:w="4938" w:type="dxa"/>
          </w:tcPr>
          <w:p w:rsidRPr="005F7586" w:rsidR="00A80724" w:rsidP="00200126" w:rsidRDefault="00212BBD" w14:paraId="4492328B" w14:textId="734DF892">
            <w:pPr>
              <w:ind w:left="-425" w:right="425" w:firstLine="425"/>
              <w:rPr>
                <w:rFonts w:ascii="Century Gothic" w:hAnsi="Century Gothic" w:cs="Calibri"/>
                <w:b/>
                <w:u w:val="single"/>
              </w:rPr>
            </w:pPr>
            <w:r w:rsidRPr="00212BBD">
              <w:rPr>
                <w:rFonts w:ascii="Century Gothic" w:hAnsi="Century Gothic" w:cs="Calibri"/>
                <w:b/>
                <w:u w:val="single"/>
              </w:rPr>
              <w:t>débiteur</w:t>
            </w:r>
          </w:p>
          <w:p w:rsidR="001D484D" w:rsidP="00492AB9" w:rsidRDefault="001D484D" w14:paraId="09FBC0AC" w14:textId="3A85C54F">
            <w:pPr>
              <w:ind w:left="-425" w:right="425" w:firstLine="425"/>
              <w:rPr>
                <w:rFonts w:ascii="Century Gothic" w:hAnsi="Century Gothic" w:cs="Calibri"/>
                <w:sz w:val="18"/>
                <w:szCs w:val="18"/>
              </w:rPr>
            </w:pPr>
          </w:p>
          <w:p w:rsidR="003C7E37" w:rsidP="00492AB9" w:rsidRDefault="003C7E37" w14:paraId="38EF304E" w14:textId="643B44A8">
            <w:pPr>
              <w:ind w:left="-425" w:right="425" w:firstLine="425"/>
              <w:rPr>
                <w:rFonts w:ascii="Century Gothic" w:hAnsi="Century Gothic" w:cs="Calibri"/>
                <w:sz w:val="18"/>
                <w:szCs w:val="18"/>
              </w:rPr>
            </w:pPr>
            <w:r w:rsidRPr="003C7E37">
              <w:rPr>
                <w:rFonts w:ascii="Century Gothic" w:hAnsi="Century Gothic" w:cs="Calibri"/>
                <w:sz w:val="18"/>
                <w:szCs w:val="18"/>
              </w:rPr>
              <w:t>SARL PASSIF DEBUTANT</w:t>
              <w:br/>
              <w:t>.</w:t>
              <w:br/>
              <w:t>02200 SOISSONS</w:t>
            </w:r>
          </w:p>
          <w:p w:rsidR="003C7E37" w:rsidP="00492AB9" w:rsidRDefault="003C7E37" w14:paraId="3FA510E4" w14:textId="77777777">
            <w:pPr>
              <w:ind w:left="-425" w:right="425" w:firstLine="425"/>
              <w:rPr>
                <w:rFonts w:ascii="Century Gothic" w:hAnsi="Century Gothic" w:cs="Calibri"/>
                <w:sz w:val="18"/>
                <w:szCs w:val="18"/>
              </w:rPr>
            </w:pPr>
          </w:p>
          <w:p w:rsidRPr="00D87D7E" w:rsidR="005A13CF" w:rsidP="00212BBD" w:rsidRDefault="00782AD8" w14:paraId="305D45D8" w14:textId="37D6FA55">
            <w:pPr>
              <w:ind w:left="-425" w:right="-102" w:firstLine="425"/>
              <w:rPr>
                <w:rFonts w:ascii="Century Gothic" w:hAnsi="Century Gothic" w:cs="Calibri"/>
                <w:sz w:val="18"/>
                <w:szCs w:val="18"/>
              </w:rPr>
            </w:pPr>
            <w:r w:rsidRPr="005F7586">
              <w:rPr>
                <w:rFonts w:ascii="Century Gothic" w:hAnsi="Century Gothic" w:cs="Calibri"/>
                <w:sz w:val="18"/>
                <w:szCs w:val="18"/>
              </w:rPr>
              <w:t>Immatriculé</w:t>
            </w:r>
            <w:r w:rsidR="00180FFA">
              <w:rPr>
                <w:rFonts w:ascii="Century Gothic" w:hAnsi="Century Gothic" w:cs="Calibri"/>
                <w:sz w:val="18"/>
                <w:szCs w:val="18"/>
              </w:rPr>
              <w:t>e</w:t>
            </w:r>
            <w:r w:rsidRPr="00212BBD" w:rsidR="00212BBD">
              <w:rPr>
                <w:rFonts w:ascii="Century Gothic" w:hAnsi="Century Gothic" w:cs="Calibri"/>
                <w:sz w:val="18"/>
                <w:szCs w:val="18"/>
              </w:rPr>
              <w:t xml:space="preserve"> </w:t>
            </w:r>
            <w:r w:rsidRPr="005F7586" w:rsidR="005F75ED">
              <w:rPr>
                <w:rFonts w:ascii="Century Gothic" w:hAnsi="Century Gothic" w:cs="Calibri"/>
                <w:sz w:val="18"/>
                <w:szCs w:val="18"/>
              </w:rPr>
              <w:t xml:space="preserve">au RCS </w:t>
            </w:r>
            <w:r w:rsidRPr="005F7586" w:rsidR="00492AB9">
              <w:rPr>
                <w:rFonts w:ascii="Century Gothic" w:hAnsi="Century Gothic" w:cs="Calibri"/>
                <w:sz w:val="18"/>
                <w:szCs w:val="18"/>
              </w:rPr>
              <w:t>N° zznumSirenAdm</w:t>
            </w:r>
          </w:p>
        </w:tc>
      </w:tr>
    </w:tbl>
    <w:p w:rsidRPr="005F7586" w:rsidR="00A80724" w:rsidP="00A80724" w:rsidRDefault="00A80724" w14:paraId="7DC9327C" w14:textId="77777777">
      <w:pPr>
        <w:ind w:left="-425" w:right="425" w:firstLine="425"/>
        <w:rPr>
          <w:rFonts w:ascii="Century Gothic" w:hAnsi="Century Gothic" w:cs="Calibri"/>
          <w:vanish/>
        </w:rPr>
      </w:pPr>
    </w:p>
    <w:tbl>
      <w:tblPr>
        <w:tblStyle w:val="Grilledutableau"/>
        <w:tblW w:w="0" w:type="auto"/>
        <w:tblInd w:w="446" w:type="dxa"/>
        <w:tblLayout w:type="fixed"/>
        <w:tblLook w:firstRow="1" w:lastRow="0" w:firstColumn="1" w:lastColumn="0" w:noHBand="0" w:noVBand="1" w:val="04A0"/>
      </w:tblPr>
      <w:tblGrid>
        <w:gridCol w:w="4765"/>
      </w:tblGrid>
      <w:tr w:rsidRPr="005F7586" w:rsidR="00A80724" w:rsidTr="00D87D7E" w14:paraId="32C43A4F" w14:textId="77777777">
        <w:trPr>
          <w:trHeight w:val="1261"/>
        </w:trPr>
        <w:tc>
          <w:tcPr>
            <w:tcW w:w="4765" w:type="dxa"/>
          </w:tcPr>
          <w:p w:rsidRPr="005F7586" w:rsidR="009557AB" w:rsidP="009557AB" w:rsidRDefault="009557AB" w14:paraId="2AA2B848" w14:textId="77777777">
            <w:pPr>
              <w:ind w:left="-425" w:right="425" w:firstLine="425"/>
              <w:rPr>
                <w:rFonts w:ascii="Century Gothic" w:hAnsi="Century Gothic" w:cs="Calibri"/>
                <w:b/>
                <w:u w:val="single"/>
              </w:rPr>
            </w:pPr>
            <w:r w:rsidRPr="005F7586">
              <w:rPr>
                <w:rFonts w:ascii="Century Gothic" w:hAnsi="Century Gothic" w:cs="Calibri"/>
                <w:b/>
                <w:u w:val="single"/>
              </w:rPr>
              <w:t>PROCEDURE</w:t>
            </w:r>
          </w:p>
          <w:p w:rsidRPr="005F7586" w:rsidR="009557AB" w:rsidP="000B3D8D" w:rsidRDefault="009557AB" w14:paraId="1C58A8C7" w14:textId="383FC865">
            <w:pPr>
              <w:ind w:left="-425" w:right="425" w:firstLine="425"/>
              <w:rPr>
                <w:rFonts w:ascii="Century Gothic" w:hAnsi="Century Gothic" w:cs="Calibri"/>
                <w:b/>
              </w:rPr>
            </w:pPr>
            <w:r w:rsidRPr="005F7586">
              <w:rPr>
                <w:rFonts w:ascii="Century Gothic" w:hAnsi="Century Gothic" w:cs="Calibri"/>
                <w:b/>
                <w:u w:val="single"/>
              </w:rPr>
              <w:t>Nature du jugement</w:t>
            </w:r>
            <w:r w:rsidRPr="005F7586">
              <w:rPr>
                <w:rFonts w:ascii="Century Gothic" w:hAnsi="Century Gothic" w:cs="Calibri"/>
                <w:b/>
              </w:rPr>
              <w:t> :</w:t>
            </w:r>
            <w:r w:rsidRPr="005F7586" w:rsidR="00782AD8">
              <w:rPr>
                <w:rFonts w:ascii="Century Gothic" w:hAnsi="Century Gothic" w:cs="Calibri"/>
                <w:b/>
              </w:rPr>
              <w:t xml:space="preserve"> </w:t>
            </w:r>
            <w:r w:rsidRPr="001D484D" w:rsidR="001D484D">
              <w:rPr>
                <w:rFonts w:ascii="Century Gothic" w:hAnsi="Century Gothic" w:cs="Calibri"/>
                <w:b/>
              </w:rPr>
              <w:t>Liquidation Judiciaire Simplifiée</w:t>
            </w:r>
          </w:p>
          <w:p w:rsidRPr="005F7586" w:rsidR="00A80724" w:rsidP="00A80724" w:rsidRDefault="009557AB" w14:paraId="479E6CF2" w14:textId="77777777">
            <w:pPr>
              <w:ind w:left="-425" w:right="425" w:firstLine="425"/>
              <w:rPr>
                <w:rFonts w:ascii="Century Gothic" w:hAnsi="Century Gothic" w:cs="Calibri"/>
              </w:rPr>
            </w:pPr>
            <w:r w:rsidRPr="005F7586">
              <w:rPr>
                <w:rFonts w:ascii="Century Gothic" w:hAnsi="Century Gothic" w:cs="Calibri"/>
                <w:b/>
                <w:u w:val="single"/>
              </w:rPr>
              <w:t>Date du jugement</w:t>
            </w:r>
            <w:r w:rsidRPr="005F7586">
              <w:rPr>
                <w:rFonts w:ascii="Century Gothic" w:hAnsi="Century Gothic" w:cs="Calibri"/>
                <w:b/>
              </w:rPr>
              <w:t> :</w:t>
            </w:r>
            <w:r w:rsidRPr="005F7586" w:rsidR="00782AD8">
              <w:rPr>
                <w:rFonts w:ascii="Century Gothic" w:hAnsi="Century Gothic" w:cs="Calibri"/>
                <w:b/>
              </w:rPr>
              <w:t xml:space="preserve"> </w:t>
            </w:r>
            <w:r w:rsidRPr="005F7586" w:rsidR="00D0374D">
              <w:rPr>
                <w:rFonts w:ascii="Century Gothic" w:hAnsi="Century Gothic" w:cs="Arial"/>
                <w:sz w:val="18"/>
                <w:szCs w:val="18"/>
              </w:rPr>
              <w:t>08/03/2023</w:t>
            </w:r>
            <w:r w:rsidRPr="005F7586" w:rsidR="00D0374D">
              <w:rPr>
                <w:rFonts w:ascii="Century Gothic" w:hAnsi="Century Gothic" w:cs="Calibri"/>
              </w:rPr>
              <w:t xml:space="preserve"> </w:t>
            </w:r>
          </w:p>
          <w:p w:rsidRPr="005F7586" w:rsidR="00D0374D" w:rsidP="00A80724" w:rsidRDefault="00D0374D" w14:paraId="23C64C1E" w14:textId="77777777">
            <w:pPr>
              <w:ind w:left="-425" w:right="425" w:firstLine="425"/>
              <w:rPr>
                <w:rFonts w:ascii="Century Gothic" w:hAnsi="Century Gothic" w:cs="Calibri"/>
              </w:rPr>
            </w:pPr>
          </w:p>
          <w:p w:rsidRPr="005F7586" w:rsidR="00D0374D" w:rsidP="00A80724" w:rsidRDefault="00D0374D" w14:paraId="0962EA53" w14:textId="77777777">
            <w:pPr>
              <w:ind w:left="-425" w:right="425" w:firstLine="425"/>
              <w:rPr>
                <w:rFonts w:ascii="Century Gothic" w:hAnsi="Century Gothic" w:cs="Calibri"/>
              </w:rPr>
            </w:pPr>
          </w:p>
        </w:tc>
      </w:tr>
    </w:tbl>
    <w:p w:rsidRPr="005F7586" w:rsidR="009557AB" w:rsidP="00200126" w:rsidRDefault="009557AB" w14:paraId="2CFDBF78" w14:textId="77777777">
      <w:pPr>
        <w:tabs>
          <w:tab w:val="left" w:pos="284"/>
          <w:tab w:val="left" w:pos="426"/>
        </w:tabs>
        <w:ind w:left="-425" w:right="425" w:firstLine="425"/>
        <w:rPr>
          <w:rFonts w:ascii="Century Gothic" w:hAnsi="Century Gothic" w:cs="Calibri"/>
        </w:rPr>
      </w:pPr>
    </w:p>
    <w:p w:rsidRPr="005F7586" w:rsidR="00D87D7E" w:rsidP="009557AB" w:rsidRDefault="00D87D7E" w14:paraId="02873940" w14:textId="77777777">
      <w:pPr>
        <w:tabs>
          <w:tab w:val="left" w:pos="10773"/>
        </w:tabs>
        <w:rPr>
          <w:rFonts w:ascii="Century Gothic" w:hAnsi="Century Gothic" w:cs="Calibri"/>
        </w:rPr>
      </w:pPr>
    </w:p>
    <w:tbl>
      <w:tblPr>
        <w:tblStyle w:val="Grilledutableau"/>
        <w:tblW w:w="0" w:type="auto"/>
        <w:tblInd w:w="392" w:type="dxa"/>
        <w:tblLayout w:type="fixed"/>
        <w:tblLook w:firstRow="1" w:lastRow="0" w:firstColumn="1" w:lastColumn="0" w:noHBand="0" w:noVBand="1" w:val="04A0"/>
      </w:tblPr>
      <w:tblGrid>
        <w:gridCol w:w="1984"/>
        <w:gridCol w:w="2268"/>
        <w:gridCol w:w="2268"/>
        <w:gridCol w:w="3686"/>
      </w:tblGrid>
      <w:tr w:rsidRPr="005F7586" w:rsidR="009557AB" w:rsidTr="00261140" w14:paraId="6B43293B" w14:textId="77777777">
        <w:trPr>
          <w:trHeight w:val="246"/>
        </w:trPr>
        <w:tc>
          <w:tcPr>
            <w:tcW w:w="10206" w:type="dxa"/>
            <w:gridSpan w:val="4"/>
            <w:shd w:val="clear" w:color="auto" w:fill="F2F2F2" w:themeFill="background1" w:themeFillShade="F2"/>
          </w:tcPr>
          <w:p w:rsidRPr="005F7586" w:rsidR="009557AB" w:rsidP="00BA0E6D" w:rsidRDefault="00BA0E6D" w14:paraId="2F6137B6" w14:textId="77777777">
            <w:pPr>
              <w:jc w:val="center"/>
              <w:rPr>
                <w:rFonts w:ascii="Century Gothic" w:hAnsi="Century Gothic" w:cs="Calibri"/>
                <w:b/>
              </w:rPr>
            </w:pPr>
            <w:r w:rsidRPr="005F7586">
              <w:rPr>
                <w:rFonts w:ascii="Century Gothic" w:hAnsi="Century Gothic" w:cs="Calibri"/>
                <w:b/>
              </w:rPr>
              <w:t>CREANCE DECLAREE</w:t>
            </w:r>
          </w:p>
          <w:p w:rsidRPr="005F7586" w:rsidR="009557AB" w:rsidP="00BA0E6D" w:rsidRDefault="00BA0E6D" w14:paraId="3FA2FFFB" w14:textId="77777777">
            <w:pPr>
              <w:ind w:left="-392" w:firstLine="142"/>
              <w:jc w:val="center"/>
              <w:rPr>
                <w:rFonts w:ascii="Century Gothic" w:hAnsi="Century Gothic" w:cs="Calibri"/>
                <w:sz w:val="16"/>
                <w:szCs w:val="16"/>
              </w:rPr>
            </w:pPr>
            <w:r w:rsidRPr="005F7586">
              <w:rPr>
                <w:rFonts w:ascii="Century Gothic" w:hAnsi="Century Gothic" w:cs="Calibri"/>
                <w:sz w:val="16"/>
                <w:szCs w:val="16"/>
              </w:rPr>
              <w:t>(N.B. : Le décompte et la liste des pièces sont à joindre en annexe)</w:t>
            </w:r>
          </w:p>
        </w:tc>
      </w:tr>
      <w:tr w:rsidRPr="005F7586" w:rsidR="009557AB" w:rsidTr="00261140" w14:paraId="3A7C84C9" w14:textId="77777777">
        <w:trPr>
          <w:trHeight w:val="558"/>
        </w:trPr>
        <w:tc>
          <w:tcPr>
            <w:tcW w:w="1984" w:type="dxa"/>
            <w:shd w:val="clear" w:color="auto" w:fill="F2F2F2" w:themeFill="background1" w:themeFillShade="F2"/>
          </w:tcPr>
          <w:p w:rsidRPr="005F7586" w:rsidR="009557AB" w:rsidP="009557AB" w:rsidRDefault="009557AB" w14:paraId="0A91AF9A" w14:textId="77777777">
            <w:pPr>
              <w:rPr>
                <w:rFonts w:ascii="Century Gothic" w:hAnsi="Century Gothic" w:cs="Calibri"/>
              </w:rPr>
            </w:pPr>
          </w:p>
          <w:p w:rsidRPr="005F7586" w:rsidR="009557AB" w:rsidP="009557AB" w:rsidRDefault="009557AB" w14:paraId="120A6178" w14:textId="77777777">
            <w:pPr>
              <w:rPr>
                <w:rFonts w:ascii="Century Gothic" w:hAnsi="Century Gothic" w:cs="Calibri"/>
              </w:rPr>
            </w:pPr>
          </w:p>
          <w:p w:rsidRPr="005F7586" w:rsidR="009557AB" w:rsidP="009557AB" w:rsidRDefault="009557AB" w14:paraId="3349E6C0" w14:textId="77777777">
            <w:pPr>
              <w:rPr>
                <w:rFonts w:ascii="Century Gothic" w:hAnsi="Century Gothic" w:cs="Calibri"/>
              </w:rPr>
            </w:pPr>
          </w:p>
        </w:tc>
        <w:tc>
          <w:tcPr>
            <w:tcW w:w="2268" w:type="dxa"/>
            <w:shd w:val="clear" w:color="auto" w:fill="F2F2F2" w:themeFill="background1" w:themeFillShade="F2"/>
          </w:tcPr>
          <w:p w:rsidRPr="005F7586" w:rsidR="009557AB" w:rsidP="00BA0E6D" w:rsidRDefault="009557AB" w14:paraId="35262965" w14:textId="77777777">
            <w:pPr>
              <w:jc w:val="center"/>
              <w:rPr>
                <w:rFonts w:ascii="Century Gothic" w:hAnsi="Century Gothic" w:cs="Calibri"/>
              </w:rPr>
            </w:pPr>
          </w:p>
          <w:p w:rsidRPr="005F7586" w:rsidR="009557AB" w:rsidP="00BA0E6D" w:rsidRDefault="00BA0E6D" w14:paraId="140ED2C6" w14:textId="77777777">
            <w:pPr>
              <w:jc w:val="center"/>
              <w:rPr>
                <w:rFonts w:ascii="Century Gothic" w:hAnsi="Century Gothic" w:cs="Calibri"/>
                <w:b/>
              </w:rPr>
            </w:pPr>
            <w:r w:rsidRPr="005F7586">
              <w:rPr>
                <w:rFonts w:ascii="Century Gothic" w:hAnsi="Century Gothic" w:cs="Calibri"/>
                <w:b/>
              </w:rPr>
              <w:t>Créance chirographaire</w:t>
            </w:r>
          </w:p>
          <w:p w:rsidRPr="005F7586" w:rsidR="009557AB" w:rsidP="00BA0E6D" w:rsidRDefault="009557AB" w14:paraId="17B8A98F" w14:textId="77777777">
            <w:pPr>
              <w:jc w:val="center"/>
              <w:rPr>
                <w:rFonts w:ascii="Century Gothic" w:hAnsi="Century Gothic" w:cs="Calibri"/>
              </w:rPr>
            </w:pPr>
          </w:p>
        </w:tc>
        <w:tc>
          <w:tcPr>
            <w:tcW w:w="2268" w:type="dxa"/>
            <w:shd w:val="clear" w:color="auto" w:fill="F2F2F2" w:themeFill="background1" w:themeFillShade="F2"/>
          </w:tcPr>
          <w:p w:rsidRPr="005F7586" w:rsidR="009557AB" w:rsidP="009557AB" w:rsidRDefault="009557AB" w14:paraId="224D8C32" w14:textId="77777777">
            <w:pPr>
              <w:rPr>
                <w:rFonts w:ascii="Century Gothic" w:hAnsi="Century Gothic" w:cs="Calibri"/>
              </w:rPr>
            </w:pPr>
          </w:p>
          <w:p w:rsidRPr="005F7586" w:rsidR="009557AB" w:rsidP="00BA0E6D" w:rsidRDefault="00BA0E6D" w14:paraId="14082B50" w14:textId="77777777">
            <w:pPr>
              <w:jc w:val="center"/>
              <w:rPr>
                <w:rFonts w:ascii="Century Gothic" w:hAnsi="Century Gothic" w:cs="Calibri"/>
                <w:b/>
              </w:rPr>
            </w:pPr>
            <w:r w:rsidRPr="005F7586">
              <w:rPr>
                <w:rFonts w:ascii="Century Gothic" w:hAnsi="Century Gothic" w:cs="Calibri"/>
                <w:b/>
              </w:rPr>
              <w:t>Créance privilégiée</w:t>
            </w:r>
          </w:p>
          <w:p w:rsidRPr="005F7586" w:rsidR="002A026A" w:rsidP="00BA0E6D" w:rsidRDefault="002A026A" w14:paraId="18726B0A" w14:textId="77777777">
            <w:pPr>
              <w:jc w:val="center"/>
              <w:rPr>
                <w:rFonts w:ascii="Century Gothic" w:hAnsi="Century Gothic" w:cs="Calibri"/>
                <w:sz w:val="14"/>
                <w:szCs w:val="14"/>
              </w:rPr>
            </w:pPr>
          </w:p>
        </w:tc>
        <w:tc>
          <w:tcPr>
            <w:tcW w:w="3686" w:type="dxa"/>
            <w:shd w:val="clear" w:color="auto" w:fill="F2F2F2" w:themeFill="background1" w:themeFillShade="F2"/>
          </w:tcPr>
          <w:p w:rsidRPr="005F7586" w:rsidR="009557AB" w:rsidP="009557AB" w:rsidRDefault="009557AB" w14:paraId="78812357" w14:textId="77777777">
            <w:pPr>
              <w:rPr>
                <w:rFonts w:ascii="Century Gothic" w:hAnsi="Century Gothic" w:cs="Calibri"/>
              </w:rPr>
            </w:pPr>
          </w:p>
          <w:p w:rsidRPr="005F7586" w:rsidR="00A275E0" w:rsidP="00BA0E6D" w:rsidRDefault="00BA0E6D" w14:paraId="0D35B01A" w14:textId="77777777">
            <w:pPr>
              <w:jc w:val="center"/>
              <w:rPr>
                <w:rFonts w:ascii="Century Gothic" w:hAnsi="Century Gothic" w:cs="Calibri"/>
                <w:b/>
              </w:rPr>
            </w:pPr>
            <w:r w:rsidRPr="005F7586">
              <w:rPr>
                <w:rFonts w:ascii="Century Gothic" w:hAnsi="Century Gothic" w:cs="Calibri"/>
                <w:b/>
              </w:rPr>
              <w:t>Observations</w:t>
            </w:r>
          </w:p>
          <w:p w:rsidRPr="005F7586" w:rsidR="009557AB" w:rsidP="00A275E0" w:rsidRDefault="00A275E0" w14:paraId="5FB193B6" w14:textId="77777777">
            <w:pPr>
              <w:tabs>
                <w:tab w:val="left" w:pos="1095"/>
              </w:tabs>
              <w:jc w:val="center"/>
              <w:rPr>
                <w:rFonts w:ascii="Century Gothic" w:hAnsi="Century Gothic" w:cs="Calibri"/>
              </w:rPr>
            </w:pPr>
            <w:r w:rsidRPr="005F7586">
              <w:rPr>
                <w:rFonts w:ascii="Century Gothic" w:hAnsi="Century Gothic" w:cs="Calibri"/>
                <w:sz w:val="14"/>
                <w:szCs w:val="14"/>
              </w:rPr>
              <w:t>(indiquer la nature du privilège)</w:t>
            </w:r>
          </w:p>
        </w:tc>
      </w:tr>
      <w:tr w:rsidRPr="005F7586" w:rsidR="009557AB" w:rsidTr="00261140" w14:paraId="31B13D89" w14:textId="77777777">
        <w:trPr>
          <w:trHeight w:val="557"/>
        </w:trPr>
        <w:tc>
          <w:tcPr>
            <w:tcW w:w="1984" w:type="dxa"/>
            <w:shd w:val="clear" w:color="auto" w:fill="F2F2F2" w:themeFill="background1" w:themeFillShade="F2"/>
            <w:vAlign w:val="center"/>
          </w:tcPr>
          <w:p w:rsidRPr="005F7586" w:rsidR="009557AB" w:rsidP="00200126" w:rsidRDefault="00BA0E6D" w14:paraId="55FEDA6D" w14:textId="77777777">
            <w:pPr>
              <w:rPr>
                <w:rFonts w:ascii="Century Gothic" w:hAnsi="Century Gothic" w:cs="Calibri"/>
                <w:b/>
              </w:rPr>
            </w:pPr>
            <w:r w:rsidRPr="005F7586">
              <w:rPr>
                <w:rFonts w:ascii="Century Gothic" w:hAnsi="Century Gothic" w:cs="Calibri"/>
                <w:b/>
              </w:rPr>
              <w:t>Montant échu</w:t>
            </w:r>
          </w:p>
        </w:tc>
        <w:tc>
          <w:tcPr>
            <w:tcW w:w="2268" w:type="dxa"/>
            <w:shd w:val="clear" w:color="auto" w:fill="F2F2F2" w:themeFill="background1" w:themeFillShade="F2"/>
            <w:vAlign w:val="center"/>
          </w:tcPr>
          <w:p w:rsidRPr="005F7586" w:rsidR="009557AB" w:rsidP="002A026A" w:rsidRDefault="002A026A" w14:paraId="2D0E6569" w14:textId="77777777">
            <w:pPr>
              <w:jc w:val="right"/>
              <w:rPr>
                <w:rFonts w:ascii="Century Gothic" w:hAnsi="Century Gothic" w:cs="Calibri"/>
              </w:rPr>
            </w:pPr>
            <w:r w:rsidRPr="005F7586">
              <w:rPr>
                <w:rFonts w:ascii="Century Gothic" w:hAnsi="Century Gothic" w:cs="Calibri"/>
              </w:rPr>
              <w:t>€</w:t>
            </w:r>
          </w:p>
        </w:tc>
        <w:tc>
          <w:tcPr>
            <w:tcW w:w="2268" w:type="dxa"/>
            <w:shd w:val="clear" w:color="auto" w:fill="F2F2F2" w:themeFill="background1" w:themeFillShade="F2"/>
            <w:vAlign w:val="center"/>
          </w:tcPr>
          <w:p w:rsidRPr="005F7586" w:rsidR="009557AB" w:rsidP="002A026A" w:rsidRDefault="002A026A" w14:paraId="1C553082" w14:textId="77777777">
            <w:pPr>
              <w:jc w:val="right"/>
              <w:rPr>
                <w:rFonts w:ascii="Century Gothic" w:hAnsi="Century Gothic" w:cs="Calibri"/>
              </w:rPr>
            </w:pPr>
            <w:r w:rsidRPr="005F7586">
              <w:rPr>
                <w:rFonts w:ascii="Century Gothic" w:hAnsi="Century Gothic" w:cs="Calibri"/>
              </w:rPr>
              <w:t>€</w:t>
            </w:r>
          </w:p>
        </w:tc>
        <w:tc>
          <w:tcPr>
            <w:tcW w:w="3686" w:type="dxa"/>
            <w:vMerge w:val="restart"/>
            <w:shd w:val="clear" w:color="auto" w:fill="F2F2F2" w:themeFill="background1" w:themeFillShade="F2"/>
          </w:tcPr>
          <w:p w:rsidRPr="005F7586" w:rsidR="009557AB" w:rsidP="009557AB" w:rsidRDefault="009557AB" w14:paraId="0B32AA05" w14:textId="77777777">
            <w:pPr>
              <w:rPr>
                <w:rFonts w:ascii="Century Gothic" w:hAnsi="Century Gothic" w:cs="Calibri"/>
              </w:rPr>
            </w:pPr>
          </w:p>
        </w:tc>
      </w:tr>
      <w:tr w:rsidRPr="005F7586" w:rsidR="009557AB" w:rsidTr="00261140" w14:paraId="4FBE8909" w14:textId="77777777">
        <w:trPr>
          <w:trHeight w:val="557"/>
        </w:trPr>
        <w:tc>
          <w:tcPr>
            <w:tcW w:w="1984" w:type="dxa"/>
            <w:shd w:val="clear" w:color="auto" w:fill="F2F2F2" w:themeFill="background1" w:themeFillShade="F2"/>
            <w:vAlign w:val="center"/>
          </w:tcPr>
          <w:p w:rsidRPr="005F7586" w:rsidR="009557AB" w:rsidP="00200126" w:rsidRDefault="00BA0E6D" w14:paraId="779281B0" w14:textId="77777777">
            <w:pPr>
              <w:rPr>
                <w:rFonts w:ascii="Century Gothic" w:hAnsi="Century Gothic" w:cs="Calibri"/>
                <w:b/>
              </w:rPr>
            </w:pPr>
            <w:r w:rsidRPr="005F7586">
              <w:rPr>
                <w:rFonts w:ascii="Century Gothic" w:hAnsi="Century Gothic" w:cs="Calibri"/>
                <w:b/>
              </w:rPr>
              <w:t>Montant à échoir</w:t>
            </w:r>
          </w:p>
        </w:tc>
        <w:tc>
          <w:tcPr>
            <w:tcW w:w="2268" w:type="dxa"/>
            <w:shd w:val="clear" w:color="auto" w:fill="F2F2F2" w:themeFill="background1" w:themeFillShade="F2"/>
            <w:vAlign w:val="center"/>
          </w:tcPr>
          <w:p w:rsidRPr="005F7586" w:rsidR="009557AB" w:rsidP="002A026A" w:rsidRDefault="002A026A" w14:paraId="4A8643BC" w14:textId="77777777">
            <w:pPr>
              <w:jc w:val="right"/>
              <w:rPr>
                <w:rFonts w:ascii="Century Gothic" w:hAnsi="Century Gothic" w:cs="Calibri"/>
              </w:rPr>
            </w:pPr>
            <w:r w:rsidRPr="005F7586">
              <w:rPr>
                <w:rFonts w:ascii="Century Gothic" w:hAnsi="Century Gothic" w:cs="Calibri"/>
              </w:rPr>
              <w:t>€</w:t>
            </w:r>
          </w:p>
        </w:tc>
        <w:tc>
          <w:tcPr>
            <w:tcW w:w="2268" w:type="dxa"/>
            <w:shd w:val="clear" w:color="auto" w:fill="F2F2F2" w:themeFill="background1" w:themeFillShade="F2"/>
            <w:vAlign w:val="center"/>
          </w:tcPr>
          <w:p w:rsidRPr="005F7586" w:rsidR="009557AB" w:rsidP="002A026A" w:rsidRDefault="002A026A" w14:paraId="1BE15472" w14:textId="77777777">
            <w:pPr>
              <w:jc w:val="right"/>
              <w:rPr>
                <w:rFonts w:ascii="Century Gothic" w:hAnsi="Century Gothic" w:cs="Calibri"/>
              </w:rPr>
            </w:pPr>
            <w:r w:rsidRPr="005F7586">
              <w:rPr>
                <w:rFonts w:ascii="Century Gothic" w:hAnsi="Century Gothic" w:cs="Calibri"/>
              </w:rPr>
              <w:t>€</w:t>
            </w:r>
          </w:p>
        </w:tc>
        <w:tc>
          <w:tcPr>
            <w:tcW w:w="3686" w:type="dxa"/>
            <w:vMerge/>
            <w:shd w:val="clear" w:color="auto" w:fill="F2F2F2" w:themeFill="background1" w:themeFillShade="F2"/>
          </w:tcPr>
          <w:p w:rsidRPr="005F7586" w:rsidR="009557AB" w:rsidP="009557AB" w:rsidRDefault="009557AB" w14:paraId="2E716864" w14:textId="77777777">
            <w:pPr>
              <w:rPr>
                <w:rFonts w:ascii="Century Gothic" w:hAnsi="Century Gothic" w:cs="Calibri"/>
              </w:rPr>
            </w:pPr>
          </w:p>
        </w:tc>
      </w:tr>
      <w:tr w:rsidRPr="005F7586" w:rsidR="009557AB" w:rsidTr="00261140" w14:paraId="58904332" w14:textId="77777777">
        <w:trPr>
          <w:trHeight w:val="557"/>
        </w:trPr>
        <w:tc>
          <w:tcPr>
            <w:tcW w:w="1984" w:type="dxa"/>
            <w:shd w:val="clear" w:color="auto" w:fill="F2F2F2" w:themeFill="background1" w:themeFillShade="F2"/>
            <w:vAlign w:val="center"/>
          </w:tcPr>
          <w:p w:rsidRPr="005F7586" w:rsidR="009557AB" w:rsidP="00200126" w:rsidRDefault="00BA0E6D" w14:paraId="5B9C0DC3" w14:textId="77777777">
            <w:pPr>
              <w:rPr>
                <w:rFonts w:ascii="Century Gothic" w:hAnsi="Century Gothic" w:cs="Calibri"/>
                <w:b/>
              </w:rPr>
            </w:pPr>
            <w:r w:rsidRPr="005F7586">
              <w:rPr>
                <w:rFonts w:ascii="Century Gothic" w:hAnsi="Century Gothic" w:cs="Calibri"/>
                <w:b/>
              </w:rPr>
              <w:t>Montant total TTC</w:t>
            </w:r>
          </w:p>
        </w:tc>
        <w:tc>
          <w:tcPr>
            <w:tcW w:w="2268" w:type="dxa"/>
            <w:shd w:val="clear" w:color="auto" w:fill="F2F2F2" w:themeFill="background1" w:themeFillShade="F2"/>
            <w:vAlign w:val="center"/>
          </w:tcPr>
          <w:p w:rsidRPr="005F7586" w:rsidR="009557AB" w:rsidP="002A026A" w:rsidRDefault="002A026A" w14:paraId="0CC8D679" w14:textId="77777777">
            <w:pPr>
              <w:jc w:val="right"/>
              <w:rPr>
                <w:rFonts w:ascii="Century Gothic" w:hAnsi="Century Gothic" w:cs="Calibri"/>
              </w:rPr>
            </w:pPr>
            <w:r w:rsidRPr="005F7586">
              <w:rPr>
                <w:rFonts w:ascii="Century Gothic" w:hAnsi="Century Gothic" w:cs="Calibri"/>
              </w:rPr>
              <w:t>€</w:t>
            </w:r>
          </w:p>
        </w:tc>
        <w:tc>
          <w:tcPr>
            <w:tcW w:w="2268" w:type="dxa"/>
            <w:shd w:val="clear" w:color="auto" w:fill="F2F2F2" w:themeFill="background1" w:themeFillShade="F2"/>
            <w:vAlign w:val="center"/>
          </w:tcPr>
          <w:p w:rsidRPr="005F7586" w:rsidR="009557AB" w:rsidP="002A026A" w:rsidRDefault="002A026A" w14:paraId="0FD89143" w14:textId="77777777">
            <w:pPr>
              <w:jc w:val="right"/>
              <w:rPr>
                <w:rFonts w:ascii="Century Gothic" w:hAnsi="Century Gothic" w:cs="Calibri"/>
              </w:rPr>
            </w:pPr>
            <w:r w:rsidRPr="005F7586">
              <w:rPr>
                <w:rFonts w:ascii="Century Gothic" w:hAnsi="Century Gothic" w:cs="Calibri"/>
              </w:rPr>
              <w:t>€</w:t>
            </w:r>
          </w:p>
        </w:tc>
        <w:tc>
          <w:tcPr>
            <w:tcW w:w="3686" w:type="dxa"/>
            <w:vMerge/>
            <w:shd w:val="clear" w:color="auto" w:fill="F2F2F2" w:themeFill="background1" w:themeFillShade="F2"/>
          </w:tcPr>
          <w:p w:rsidRPr="005F7586" w:rsidR="009557AB" w:rsidP="009557AB" w:rsidRDefault="009557AB" w14:paraId="02497EC0" w14:textId="77777777">
            <w:pPr>
              <w:rPr>
                <w:rFonts w:ascii="Century Gothic" w:hAnsi="Century Gothic" w:cs="Calibri"/>
              </w:rPr>
            </w:pPr>
          </w:p>
        </w:tc>
      </w:tr>
    </w:tbl>
    <w:p w:rsidRPr="005F7586" w:rsidR="00BA5214" w:rsidP="005D3152" w:rsidRDefault="00BA5214" w14:paraId="316EBEE4" w14:textId="77777777">
      <w:pPr>
        <w:rPr>
          <w:rFonts w:ascii="Century Gothic" w:hAnsi="Century Gothic" w:cs="Calibri"/>
        </w:rPr>
      </w:pPr>
    </w:p>
    <w:p w:rsidRPr="005F7586" w:rsidR="002A026A" w:rsidP="002A026A" w:rsidRDefault="002A026A" w14:paraId="009E06A0" w14:textId="77777777">
      <w:pPr>
        <w:ind w:firstLine="709"/>
        <w:rPr>
          <w:rFonts w:ascii="Century Gothic" w:hAnsi="Century Gothic" w:cs="Calibri"/>
        </w:rPr>
      </w:pPr>
    </w:p>
    <w:p w:rsidRPr="005F7586" w:rsidR="002A026A" w:rsidP="00542319" w:rsidRDefault="002A026A" w14:paraId="4970DAC7" w14:textId="11C8FE7A">
      <w:pPr>
        <w:tabs>
          <w:tab w:val="left" w:pos="1276"/>
          <w:tab w:val="left" w:pos="3119"/>
          <w:tab w:val="left" w:pos="3402"/>
        </w:tabs>
        <w:ind w:firstLine="709"/>
        <w:rPr>
          <w:rFonts w:ascii="Century Gothic" w:hAnsi="Century Gothic" w:cs="Calibri"/>
        </w:rPr>
      </w:pPr>
      <w:r w:rsidRPr="005F7586">
        <w:rPr>
          <w:rFonts w:ascii="Century Gothic" w:hAnsi="Century Gothic" w:cs="Calibri"/>
          <w:b/>
        </w:rPr>
        <w:t xml:space="preserve">Fait </w:t>
      </w:r>
      <w:r w:rsidR="00542319">
        <w:rPr>
          <w:rFonts w:ascii="Century Gothic" w:hAnsi="Century Gothic" w:cs="Calibri"/>
          <w:b/>
        </w:rPr>
        <w:t xml:space="preserve">à </w:t>
      </w:r>
      <w:r w:rsidRPr="00542319" w:rsidR="00542319">
        <w:rPr>
          <w:rFonts w:ascii="Century Gothic" w:hAnsi="Century Gothic" w:cs="Calibri"/>
          <w:bCs/>
        </w:rPr>
        <w:t>……………………..</w:t>
      </w:r>
      <w:r w:rsidR="00542319">
        <w:rPr>
          <w:rFonts w:ascii="Century Gothic" w:hAnsi="Century Gothic" w:cs="Calibri"/>
          <w:b/>
        </w:rPr>
        <w:tab/>
      </w:r>
      <w:r w:rsidRPr="005F7586">
        <w:rPr>
          <w:rFonts w:ascii="Century Gothic" w:hAnsi="Century Gothic" w:cs="Calibri"/>
          <w:b/>
        </w:rPr>
        <w:t>le</w:t>
      </w:r>
      <w:r w:rsidRPr="005F7586" w:rsidR="00377B57">
        <w:rPr>
          <w:rFonts w:ascii="Century Gothic" w:hAnsi="Century Gothic" w:cs="Calibri"/>
        </w:rPr>
        <w:tab/>
      </w:r>
      <w:r w:rsidRPr="005F7586" w:rsidR="00377B57">
        <w:rPr>
          <w:rFonts w:ascii="Century Gothic" w:hAnsi="Century Gothic" w:cs="Calibri"/>
        </w:rPr>
        <w:tab/>
      </w:r>
      <w:r w:rsidR="00542319">
        <w:rPr>
          <w:rFonts w:ascii="Century Gothic" w:hAnsi="Century Gothic" w:cs="Calibri"/>
        </w:rPr>
        <w:t>…………………………….</w:t>
      </w:r>
      <w:r w:rsidRPr="005F7586" w:rsidR="00377B57">
        <w:rPr>
          <w:rFonts w:ascii="Century Gothic" w:hAnsi="Century Gothic" w:cs="Calibri"/>
        </w:rPr>
        <w:tab/>
      </w:r>
    </w:p>
    <w:p w:rsidRPr="005F7586" w:rsidR="002A026A" w:rsidP="002A026A" w:rsidRDefault="008A1F89" w14:paraId="0985D60B" w14:textId="77777777">
      <w:pPr>
        <w:ind w:firstLine="709"/>
        <w:rPr>
          <w:rFonts w:ascii="Century Gothic" w:hAnsi="Century Gothic" w:cs="Calibri"/>
        </w:rPr>
      </w:pPr>
      <w:r>
        <w:rPr>
          <w:rFonts w:ascii="Century Gothic" w:hAnsi="Century Gothic"/>
          <w:noProof/>
        </w:rPr>
        <w:pict w14:anchorId="11E9BB6C">
          <v:rect style="position:absolute;left:0;text-align:left;margin-left:323.05pt;margin-top:10.4pt;width:178.5pt;height:111.75pt;z-index:-251658240" id="_x0000_s1026" filled="f">
            <o:extrusion on="t" color="#f2f2f2 [3052]" v:ext="view"/>
          </v:rect>
        </w:pict>
      </w:r>
      <w:r w:rsidRPr="005F7586" w:rsidR="00377B57">
        <w:rPr>
          <w:rFonts w:ascii="Century Gothic" w:hAnsi="Century Gothic" w:cs="Calibri"/>
        </w:rPr>
        <w:tab/>
      </w:r>
      <w:r w:rsidRPr="005F7586" w:rsidR="00377B57">
        <w:rPr>
          <w:rFonts w:ascii="Century Gothic" w:hAnsi="Century Gothic" w:cs="Calibri"/>
        </w:rPr>
        <w:tab/>
      </w:r>
      <w:r w:rsidRPr="005F7586" w:rsidR="00377B57">
        <w:rPr>
          <w:rFonts w:ascii="Century Gothic" w:hAnsi="Century Gothic" w:cs="Calibri"/>
        </w:rPr>
        <w:tab/>
      </w:r>
      <w:r w:rsidRPr="005F7586" w:rsidR="00377B57">
        <w:rPr>
          <w:rFonts w:ascii="Century Gothic" w:hAnsi="Century Gothic" w:cs="Calibri"/>
        </w:rPr>
        <w:tab/>
      </w:r>
      <w:r w:rsidRPr="005F7586" w:rsidR="00377B57">
        <w:rPr>
          <w:rFonts w:ascii="Century Gothic" w:hAnsi="Century Gothic" w:cs="Calibri"/>
        </w:rPr>
        <w:tab/>
      </w:r>
      <w:r w:rsidRPr="005F7586" w:rsidR="00377B57">
        <w:rPr>
          <w:rFonts w:ascii="Century Gothic" w:hAnsi="Century Gothic" w:cs="Calibri"/>
        </w:rPr>
        <w:tab/>
      </w:r>
      <w:r w:rsidRPr="005F7586" w:rsidR="00377B57">
        <w:rPr>
          <w:rFonts w:ascii="Century Gothic" w:hAnsi="Century Gothic" w:cs="Calibri"/>
        </w:rPr>
        <w:tab/>
      </w:r>
      <w:r w:rsidRPr="005F7586" w:rsidR="00377B57">
        <w:rPr>
          <w:rFonts w:ascii="Century Gothic" w:hAnsi="Century Gothic" w:cs="Calibri"/>
        </w:rPr>
        <w:tab/>
      </w:r>
    </w:p>
    <w:p w:rsidR="00D87D7E" w:rsidP="005C27EC" w:rsidRDefault="00377B57" w14:paraId="68411719" w14:textId="2759223A">
      <w:pPr>
        <w:tabs>
          <w:tab w:val="left" w:pos="6804"/>
        </w:tabs>
        <w:ind w:left="709"/>
        <w:jc w:val="both"/>
        <w:rPr>
          <w:rFonts w:ascii="Century Gothic" w:hAnsi="Century Gothic" w:cs="Calibri"/>
          <w:sz w:val="18"/>
          <w:szCs w:val="18"/>
        </w:rPr>
      </w:pPr>
      <w:r w:rsidRPr="005F7586">
        <w:rPr>
          <w:rFonts w:ascii="Century Gothic" w:hAnsi="Century Gothic" w:cs="Calibri"/>
          <w:b/>
        </w:rPr>
        <w:t>Nom du signataire</w:t>
      </w:r>
      <w:r w:rsidR="00542319">
        <w:rPr>
          <w:rFonts w:ascii="Century Gothic" w:hAnsi="Century Gothic" w:cs="Calibri"/>
          <w:b/>
        </w:rPr>
        <w:t> :</w:t>
      </w:r>
      <w:r w:rsidR="00D87D7E">
        <w:rPr>
          <w:rFonts w:ascii="Century Gothic" w:hAnsi="Century Gothic" w:cs="Calibri"/>
          <w:b/>
        </w:rPr>
        <w:tab/>
      </w:r>
      <w:r w:rsidRPr="005F7586" w:rsidR="00CB4840">
        <w:rPr>
          <w:rFonts w:ascii="Century Gothic" w:hAnsi="Century Gothic" w:cs="Calibri"/>
          <w:sz w:val="18"/>
          <w:szCs w:val="18"/>
        </w:rPr>
        <w:t>Décla</w:t>
      </w:r>
      <w:r w:rsidRPr="005F7586" w:rsidR="00782AD8">
        <w:rPr>
          <w:rFonts w:ascii="Century Gothic" w:hAnsi="Century Gothic" w:cs="Calibri"/>
          <w:sz w:val="18"/>
          <w:szCs w:val="18"/>
        </w:rPr>
        <w:t>ration de créance</w:t>
      </w:r>
    </w:p>
    <w:p w:rsidR="005C27EC" w:rsidP="005C27EC" w:rsidRDefault="005C27EC" w14:paraId="13BF3885" w14:textId="3A59AFB9">
      <w:pPr>
        <w:tabs>
          <w:tab w:val="left" w:pos="6804"/>
        </w:tabs>
        <w:ind w:left="709"/>
        <w:jc w:val="both"/>
        <w:rPr>
          <w:rFonts w:ascii="Century Gothic" w:hAnsi="Century Gothic" w:cs="Calibri"/>
          <w:sz w:val="18"/>
          <w:szCs w:val="18"/>
        </w:rPr>
      </w:pPr>
      <w:r>
        <w:rPr>
          <w:rFonts w:ascii="Century Gothic" w:hAnsi="Century Gothic" w:cs="Calibri"/>
          <w:sz w:val="18"/>
          <w:szCs w:val="18"/>
        </w:rPr>
        <w:tab/>
        <w:t>A renvoyer à</w:t>
      </w:r>
    </w:p>
    <w:p w:rsidR="005C27EC" w:rsidP="005C27EC" w:rsidRDefault="005C27EC" w14:paraId="1DB70F45" w14:textId="01BF1C33">
      <w:pPr>
        <w:tabs>
          <w:tab w:val="left" w:pos="6804"/>
        </w:tabs>
        <w:ind w:left="709"/>
        <w:jc w:val="both"/>
        <w:rPr>
          <w:rFonts w:ascii="Century Gothic" w:hAnsi="Century Gothic" w:cs="Calibri"/>
          <w:sz w:val="18"/>
          <w:szCs w:val="18"/>
        </w:rPr>
      </w:pPr>
      <w:r>
        <w:rPr>
          <w:rFonts w:ascii="Century Gothic" w:hAnsi="Century Gothic" w:cs="Calibri"/>
          <w:sz w:val="18"/>
          <w:szCs w:val="18"/>
        </w:rPr>
        <w:tab/>
      </w:r>
      <w:r w:rsidRPr="005C27EC">
        <w:rPr>
          <w:rFonts w:ascii="Century Gothic" w:hAnsi="Century Gothic" w:cs="Calibri"/>
          <w:sz w:val="18"/>
          <w:szCs w:val="18"/>
        </w:rPr>
        <w:t>AL DEMO GEMARCUR</w:t>
        <w:br/>
        <w:t>64, Rue Montgrand</w:t>
        <w:br/>
        <w:t>CS 90011</w:t>
        <w:br/>
        <w:t>14150 Palavas les flots</w:t>
      </w:r>
    </w:p>
    <w:p w:rsidRPr="005F7586" w:rsidR="00542319" w:rsidP="00542319" w:rsidRDefault="00542319" w14:paraId="3518F5E1" w14:textId="77777777">
      <w:pPr>
        <w:ind w:firstLine="709"/>
        <w:rPr>
          <w:rFonts w:ascii="Century Gothic" w:hAnsi="Century Gothic" w:cs="Calibri"/>
          <w:b/>
          <w:u w:val="single"/>
        </w:rPr>
      </w:pPr>
      <w:r w:rsidRPr="005F7586">
        <w:rPr>
          <w:rFonts w:ascii="Century Gothic" w:hAnsi="Century Gothic" w:cs="Calibri"/>
          <w:b/>
          <w:u w:val="single"/>
        </w:rPr>
        <w:t>SIGNATURE</w:t>
      </w:r>
    </w:p>
    <w:p w:rsidR="002A026A" w:rsidP="005C27EC" w:rsidRDefault="005C27EC" w14:paraId="6E712974" w14:textId="4378B450">
      <w:pPr>
        <w:tabs>
          <w:tab w:val="left" w:pos="6946"/>
          <w:tab w:val="left" w:pos="7088"/>
        </w:tabs>
        <w:ind w:firstLine="709"/>
        <w:jc w:val="both"/>
        <w:rPr>
          <w:rFonts w:ascii="Century Gothic" w:hAnsi="Century Gothic" w:cs="Calibri"/>
          <w:sz w:val="18"/>
          <w:szCs w:val="18"/>
        </w:rPr>
      </w:pPr>
      <w:r>
        <w:rPr>
          <w:rFonts w:ascii="Century Gothic" w:hAnsi="Century Gothic" w:cs="Calibri"/>
          <w:sz w:val="18"/>
          <w:szCs w:val="18"/>
        </w:rPr>
        <w:tab/>
      </w:r>
    </w:p>
    <w:p w:rsidRPr="005F7586" w:rsidR="005C27EC" w:rsidP="00D87D7E" w:rsidRDefault="005C27EC" w14:paraId="3431A3FD" w14:textId="6F6CF474">
      <w:pPr>
        <w:tabs>
          <w:tab w:val="left" w:pos="7088"/>
        </w:tabs>
        <w:ind w:firstLine="709"/>
        <w:rPr>
          <w:rFonts w:ascii="Century Gothic" w:hAnsi="Century Gothic" w:cs="Calibri"/>
        </w:rPr>
      </w:pPr>
      <w:r>
        <w:rPr>
          <w:rFonts w:ascii="Century Gothic" w:hAnsi="Century Gothic" w:cs="Calibri"/>
          <w:sz w:val="18"/>
          <w:szCs w:val="18"/>
        </w:rPr>
        <w:tab/>
      </w:r>
    </w:p>
    <w:p w:rsidRPr="005F7586" w:rsidR="00377B57" w:rsidP="00F649B7" w:rsidRDefault="00FB33CE" w14:paraId="3D00E60D" w14:textId="39CC2376">
      <w:pPr>
        <w:tabs>
          <w:tab w:val="left" w:pos="7905"/>
        </w:tabs>
        <w:ind w:firstLine="709"/>
        <w:rPr>
          <w:rFonts w:ascii="Century Gothic" w:hAnsi="Century Gothic" w:cs="Calibri"/>
        </w:rPr>
      </w:pPr>
      <w:r w:rsidRPr="005F7586">
        <w:rPr>
          <w:rFonts w:ascii="Century Gothic" w:hAnsi="Century Gothic" w:cs="Calibri"/>
        </w:rPr>
        <w:t xml:space="preserve">                      </w:t>
      </w:r>
      <w:r w:rsidRPr="005F7586" w:rsidR="00722923">
        <w:rPr>
          <w:rFonts w:ascii="Century Gothic" w:hAnsi="Century Gothic" w:cs="Calibri"/>
        </w:rPr>
        <w:t xml:space="preserve">           </w:t>
      </w:r>
      <w:r w:rsidRPr="005F7586" w:rsidR="00675755">
        <w:rPr>
          <w:rFonts w:ascii="Century Gothic" w:hAnsi="Century Gothic" w:cs="Calibri"/>
        </w:rPr>
        <w:t xml:space="preserve">                              </w:t>
      </w:r>
      <w:r w:rsidRPr="005F7586" w:rsidR="00A65CAC">
        <w:rPr>
          <w:rFonts w:ascii="Century Gothic" w:hAnsi="Century Gothic" w:cs="Calibri"/>
        </w:rPr>
        <w:t xml:space="preserve">   </w:t>
      </w:r>
    </w:p>
    <w:p w:rsidRPr="005F7586" w:rsidR="00542319" w:rsidP="00542319" w:rsidRDefault="00542319" w14:paraId="4ACB436E" w14:textId="77777777">
      <w:pPr>
        <w:ind w:firstLine="709"/>
        <w:rPr>
          <w:rFonts w:ascii="Century Gothic" w:hAnsi="Century Gothic" w:cs="Calibri"/>
        </w:rPr>
      </w:pPr>
      <w:r w:rsidRPr="005F7586">
        <w:rPr>
          <w:rFonts w:ascii="Century Gothic" w:hAnsi="Century Gothic" w:cs="Calibri"/>
        </w:rPr>
        <w:t>Cachet de votre société</w:t>
      </w:r>
    </w:p>
    <w:p w:rsidRPr="005F7586" w:rsidR="00F649B7" w:rsidP="00F649B7" w:rsidRDefault="00F649B7" w14:paraId="0F960322" w14:textId="0902EA06">
      <w:pPr>
        <w:tabs>
          <w:tab w:val="left" w:pos="7905"/>
        </w:tabs>
        <w:ind w:firstLine="709"/>
        <w:rPr>
          <w:rFonts w:ascii="Century Gothic" w:hAnsi="Century Gothic" w:cs="Calibri"/>
        </w:rPr>
      </w:pPr>
    </w:p>
    <w:p w:rsidRPr="005F7586" w:rsidR="00377B57" w:rsidP="002A026A" w:rsidRDefault="00377B57" w14:paraId="668656BD" w14:textId="313A8CB7">
      <w:pPr>
        <w:ind w:firstLine="709"/>
        <w:rPr>
          <w:rFonts w:ascii="Century Gothic" w:hAnsi="Century Gothic" w:cs="Calibri"/>
          <w:b/>
        </w:rPr>
      </w:pPr>
      <w:r w:rsidRPr="005F7586">
        <w:rPr>
          <w:rFonts w:ascii="Century Gothic" w:hAnsi="Century Gothic" w:cs="Calibri"/>
          <w:b/>
        </w:rPr>
        <w:t>Certifié sincère</w:t>
      </w:r>
    </w:p>
    <w:p w:rsidR="00542319" w:rsidP="00A65CAC" w:rsidRDefault="00542319" w14:paraId="19D5BFBD" w14:textId="77777777">
      <w:pPr>
        <w:ind w:firstLine="709"/>
        <w:rPr>
          <w:rFonts w:ascii="Century Gothic" w:hAnsi="Century Gothic" w:cs="Calibri"/>
          <w:b/>
          <w:u w:val="single"/>
        </w:rPr>
      </w:pPr>
    </w:p>
    <w:p w:rsidR="00542319" w:rsidP="00A65CAC" w:rsidRDefault="00542319" w14:paraId="2831AFB3" w14:textId="77777777">
      <w:pPr>
        <w:ind w:firstLine="709"/>
        <w:rPr>
          <w:rFonts w:ascii="Century Gothic" w:hAnsi="Century Gothic" w:cs="Calibri"/>
          <w:b/>
          <w:u w:val="single"/>
        </w:rPr>
      </w:pPr>
    </w:p>
    <w:p w:rsidR="00542319" w:rsidP="00A65CAC" w:rsidRDefault="00542319" w14:paraId="26166A35" w14:textId="77777777">
      <w:pPr>
        <w:ind w:firstLine="709"/>
        <w:rPr>
          <w:rFonts w:ascii="Century Gothic" w:hAnsi="Century Gothic" w:cs="Calibri"/>
          <w:b/>
          <w:u w:val="single"/>
        </w:rPr>
      </w:pPr>
    </w:p>
    <w:p w:rsidR="00542319" w:rsidP="00A65CAC" w:rsidRDefault="00542319" w14:paraId="0F457E4B" w14:textId="77777777">
      <w:pPr>
        <w:ind w:firstLine="709"/>
        <w:rPr>
          <w:rFonts w:ascii="Century Gothic" w:hAnsi="Century Gothic" w:cs="Calibri"/>
          <w:b/>
          <w:u w:val="single"/>
        </w:rPr>
      </w:pPr>
    </w:p>
    <w:p w:rsidRPr="00542319" w:rsidR="00377B57" w:rsidP="00A65CAC" w:rsidRDefault="00542319" w14:paraId="6F96DF83" w14:textId="12E19C99">
      <w:pPr>
        <w:ind w:firstLine="709"/>
        <w:rPr>
          <w:rFonts w:ascii="Century Gothic" w:hAnsi="Century Gothic" w:cs="Calibri"/>
          <w:b/>
          <w:u w:val="single"/>
        </w:rPr>
      </w:pPr>
      <w:r>
        <w:rPr>
          <w:rFonts w:ascii="Century Gothic" w:hAnsi="Century Gothic" w:cs="Calibri"/>
          <w:b/>
          <w:u w:val="single"/>
        </w:rPr>
        <w:t>Référence de la procédure</w:t>
      </w:r>
      <w:r w:rsidRPr="005F7586" w:rsidR="00FD21A0">
        <w:rPr>
          <w:rFonts w:ascii="Century Gothic" w:hAnsi="Century Gothic" w:cs="Calibri"/>
          <w:b/>
          <w:u w:val="single"/>
        </w:rPr>
        <w:t xml:space="preserve"> : </w:t>
      </w:r>
      <w:r w:rsidRPr="00542319" w:rsidR="008B213F">
        <w:rPr>
          <w:rFonts w:ascii="Century Gothic" w:hAnsi="Century Gothic" w:cs="Calibri"/>
          <w:b/>
          <w:i/>
          <w:color w:val="31849B" w:themeColor="accent5" w:themeShade="BF"/>
          <w:u w:val="single"/>
        </w:rPr>
        <w:t>212930</w:t>
      </w:r>
    </w:p>
    <w:p w:rsidRPr="005F7586" w:rsidR="00377B57" w:rsidP="002A026A" w:rsidRDefault="00377B57" w14:paraId="0A098613" w14:textId="77777777">
      <w:pPr>
        <w:ind w:firstLine="709"/>
        <w:rPr>
          <w:rFonts w:ascii="Century Gothic" w:hAnsi="Century Gothic" w:cs="Calibri"/>
          <w:b/>
          <w:u w:val="single"/>
        </w:rPr>
      </w:pPr>
    </w:p>
    <w:p w:rsidR="00E77E23" w:rsidP="00722923" w:rsidRDefault="00722923" w14:paraId="23C317F6" w14:textId="11B89D23">
      <w:pPr>
        <w:tabs>
          <w:tab w:val="left" w:pos="7620"/>
        </w:tabs>
        <w:ind w:firstLine="709"/>
        <w:rPr>
          <w:rFonts w:ascii="Century Gothic" w:hAnsi="Century Gothic" w:cs="Calibri"/>
        </w:rPr>
      </w:pPr>
      <w:r w:rsidRPr="005F7586">
        <w:rPr>
          <w:rFonts w:ascii="Century Gothic" w:hAnsi="Century Gothic" w:cs="Calibri"/>
        </w:rPr>
        <w:tab/>
      </w:r>
    </w:p>
    <w:p w:rsidR="005C27EC" w:rsidP="00722923" w:rsidRDefault="005C27EC" w14:paraId="7270F98A" w14:textId="08727688">
      <w:pPr>
        <w:tabs>
          <w:tab w:val="left" w:pos="7620"/>
        </w:tabs>
        <w:ind w:firstLine="709"/>
        <w:rPr>
          <w:rFonts w:ascii="Century Gothic" w:hAnsi="Century Gothic" w:cs="Calibri"/>
        </w:rPr>
      </w:pPr>
    </w:p>
    <w:p w:rsidR="005C27EC" w:rsidP="00722923" w:rsidRDefault="005C27EC" w14:paraId="2A3A0730" w14:textId="77777777">
      <w:pPr>
        <w:tabs>
          <w:tab w:val="left" w:pos="7620"/>
        </w:tabs>
        <w:ind w:firstLine="709"/>
        <w:rPr>
          <w:rFonts w:ascii="Century Gothic" w:hAnsi="Century Gothic" w:cs="Calibri"/>
        </w:rPr>
      </w:pPr>
    </w:p>
    <w:p w:rsidRPr="005C27EC" w:rsidR="005C27EC" w:rsidP="005C27EC" w:rsidRDefault="005C27EC" w14:paraId="6374872B" w14:textId="7A207F90">
      <w:pPr>
        <w:jc w:val="center"/>
        <w:rPr>
          <w:rFonts w:cs="Calibri" w:asciiTheme="minorHAnsi" w:hAnsiTheme="minorHAnsi"/>
          <w:b/>
          <w:color w:val="FF0000"/>
        </w:rPr>
      </w:pPr>
      <w:r>
        <w:rPr>
          <w:rFonts w:cs="Calibri" w:asciiTheme="minorHAnsi" w:hAnsiTheme="minorHAnsi"/>
          <w:b/>
          <w:color w:val="FF0000"/>
        </w:rPr>
        <w:t xml:space="preserve">NB </w:t>
      </w:r>
      <w:r w:rsidRPr="005C27EC">
        <w:rPr>
          <w:rFonts w:cs="Calibri" w:asciiTheme="minorHAnsi" w:hAnsiTheme="minorHAnsi"/>
          <w:b/>
          <w:color w:val="FF0000"/>
        </w:rPr>
        <w:t>: merci de joindre impérativement cette page</w:t>
      </w:r>
      <w:r>
        <w:rPr>
          <w:rFonts w:cs="Calibri" w:asciiTheme="minorHAnsi" w:hAnsiTheme="minorHAnsi"/>
          <w:b/>
          <w:color w:val="FF0000"/>
        </w:rPr>
        <w:t>,</w:t>
      </w:r>
      <w:r w:rsidRPr="005C27EC">
        <w:rPr>
          <w:rFonts w:cs="Calibri" w:asciiTheme="minorHAnsi" w:hAnsiTheme="minorHAnsi"/>
          <w:b/>
          <w:color w:val="FF0000"/>
        </w:rPr>
        <w:t xml:space="preserve"> dument complétée, à votre envoi.</w:t>
      </w:r>
    </w:p>
    <w:p w:rsidRPr="005F7586" w:rsidR="005C27EC" w:rsidP="005C27EC" w:rsidRDefault="005C27EC" w14:paraId="7E7ED9C0" w14:textId="77777777">
      <w:pPr>
        <w:tabs>
          <w:tab w:val="left" w:pos="7620"/>
        </w:tabs>
        <w:ind w:firstLine="709"/>
        <w:jc w:val="center"/>
        <w:rPr>
          <w:rFonts w:ascii="Century Gothic" w:hAnsi="Century Gothic" w:cs="Calibri"/>
        </w:rPr>
      </w:pPr>
    </w:p>
    <w:sectPr w:rsidRPr="005F7586" w:rsidR="005C27EC" w:rsidSect="00680612">
      <w:type w:val="continuous"/>
      <w:pgSz w:w="11906" w:h="16838"/>
      <w:pgMar w:top="567" w:right="567" w:bottom="567" w:left="709"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EDD"/>
    <w:multiLevelType w:val="hybridMultilevel"/>
    <w:tmpl w:val="E654B6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103E6"/>
    <w:multiLevelType w:val="hybridMultilevel"/>
    <w:tmpl w:val="DCBA58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84369"/>
    <w:multiLevelType w:val="hybridMultilevel"/>
    <w:tmpl w:val="C8CA94E2"/>
    <w:lvl w:ilvl="0" w:tplc="040C000B">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 w15:restartNumberingAfterBreak="0">
    <w:nsid w:val="11C30D61"/>
    <w:multiLevelType w:val="hybridMultilevel"/>
    <w:tmpl w:val="C5D4E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065FF"/>
    <w:multiLevelType w:val="hybridMultilevel"/>
    <w:tmpl w:val="C5ECA5FA"/>
    <w:lvl w:ilvl="0" w:tplc="7E9EEB84">
      <w:start w:val="1"/>
      <w:numFmt w:val="decimal"/>
      <w:lvlText w:val="%1-"/>
      <w:lvlJc w:val="left"/>
      <w:pPr>
        <w:tabs>
          <w:tab w:val="num" w:pos="720"/>
        </w:tabs>
        <w:ind w:left="720" w:hanging="360"/>
      </w:pPr>
      <w:rPr>
        <w:rFonts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F7A16"/>
    <w:multiLevelType w:val="hybridMultilevel"/>
    <w:tmpl w:val="BFDE1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75AAF"/>
    <w:multiLevelType w:val="hybridMultilevel"/>
    <w:tmpl w:val="A22CFA70"/>
    <w:lvl w:ilvl="0" w:tplc="3D929C20">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204B109C"/>
    <w:multiLevelType w:val="hybridMultilevel"/>
    <w:tmpl w:val="D9425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51056A"/>
    <w:multiLevelType w:val="hybridMultilevel"/>
    <w:tmpl w:val="D59E89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1C091B"/>
    <w:multiLevelType w:val="hybridMultilevel"/>
    <w:tmpl w:val="245A00B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2B4D6654"/>
    <w:multiLevelType w:val="hybridMultilevel"/>
    <w:tmpl w:val="3B06D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161A5"/>
    <w:multiLevelType w:val="hybridMultilevel"/>
    <w:tmpl w:val="6F08E9B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9245866"/>
    <w:multiLevelType w:val="hybridMultilevel"/>
    <w:tmpl w:val="0B6A32C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A5B68D2"/>
    <w:multiLevelType w:val="hybridMultilevel"/>
    <w:tmpl w:val="121036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66BA9"/>
    <w:multiLevelType w:val="hybridMultilevel"/>
    <w:tmpl w:val="018E2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3F3BD2"/>
    <w:multiLevelType w:val="hybridMultilevel"/>
    <w:tmpl w:val="B824DECE"/>
    <w:lvl w:ilvl="0" w:tplc="EF760B0A">
      <w:start w:val="18"/>
      <w:numFmt w:val="bullet"/>
      <w:lvlText w:val=""/>
      <w:lvlJc w:val="left"/>
      <w:pPr>
        <w:ind w:left="720" w:hanging="360"/>
      </w:pPr>
      <w:rPr>
        <w:rFonts w:ascii="Symbol" w:eastAsiaTheme="minorEastAsia"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126331"/>
    <w:multiLevelType w:val="hybridMultilevel"/>
    <w:tmpl w:val="3D7AF2A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4516DF"/>
    <w:multiLevelType w:val="hybridMultilevel"/>
    <w:tmpl w:val="17ECFAA8"/>
    <w:lvl w:ilvl="0" w:tplc="040C000B">
      <w:start w:val="1"/>
      <w:numFmt w:val="bullet"/>
      <w:lvlText w:val=""/>
      <w:lvlJc w:val="left"/>
      <w:pPr>
        <w:ind w:left="2370" w:hanging="360"/>
      </w:pPr>
      <w:rPr>
        <w:rFonts w:ascii="Wingdings" w:hAnsi="Wingdings" w:hint="default"/>
      </w:rPr>
    </w:lvl>
    <w:lvl w:ilvl="1" w:tplc="040C0003">
      <w:start w:val="1"/>
      <w:numFmt w:val="bullet"/>
      <w:lvlText w:val="o"/>
      <w:lvlJc w:val="left"/>
      <w:pPr>
        <w:ind w:left="3090" w:hanging="360"/>
      </w:pPr>
      <w:rPr>
        <w:rFonts w:ascii="Courier New" w:hAnsi="Courier New" w:hint="default"/>
      </w:rPr>
    </w:lvl>
    <w:lvl w:ilvl="2" w:tplc="040C0005" w:tentative="1">
      <w:start w:val="1"/>
      <w:numFmt w:val="bullet"/>
      <w:lvlText w:val=""/>
      <w:lvlJc w:val="left"/>
      <w:pPr>
        <w:ind w:left="3810" w:hanging="360"/>
      </w:pPr>
      <w:rPr>
        <w:rFonts w:ascii="Wingdings" w:hAnsi="Wingdings" w:hint="default"/>
      </w:rPr>
    </w:lvl>
    <w:lvl w:ilvl="3" w:tplc="040C0001" w:tentative="1">
      <w:start w:val="1"/>
      <w:numFmt w:val="bullet"/>
      <w:lvlText w:val=""/>
      <w:lvlJc w:val="left"/>
      <w:pPr>
        <w:ind w:left="4530" w:hanging="360"/>
      </w:pPr>
      <w:rPr>
        <w:rFonts w:ascii="Symbol" w:hAnsi="Symbol" w:hint="default"/>
      </w:rPr>
    </w:lvl>
    <w:lvl w:ilvl="4" w:tplc="040C0003" w:tentative="1">
      <w:start w:val="1"/>
      <w:numFmt w:val="bullet"/>
      <w:lvlText w:val="o"/>
      <w:lvlJc w:val="left"/>
      <w:pPr>
        <w:ind w:left="5250" w:hanging="360"/>
      </w:pPr>
      <w:rPr>
        <w:rFonts w:ascii="Courier New" w:hAnsi="Courier New" w:hint="default"/>
      </w:rPr>
    </w:lvl>
    <w:lvl w:ilvl="5" w:tplc="040C0005" w:tentative="1">
      <w:start w:val="1"/>
      <w:numFmt w:val="bullet"/>
      <w:lvlText w:val=""/>
      <w:lvlJc w:val="left"/>
      <w:pPr>
        <w:ind w:left="5970" w:hanging="360"/>
      </w:pPr>
      <w:rPr>
        <w:rFonts w:ascii="Wingdings" w:hAnsi="Wingdings" w:hint="default"/>
      </w:rPr>
    </w:lvl>
    <w:lvl w:ilvl="6" w:tplc="040C0001" w:tentative="1">
      <w:start w:val="1"/>
      <w:numFmt w:val="bullet"/>
      <w:lvlText w:val=""/>
      <w:lvlJc w:val="left"/>
      <w:pPr>
        <w:ind w:left="6690" w:hanging="360"/>
      </w:pPr>
      <w:rPr>
        <w:rFonts w:ascii="Symbol" w:hAnsi="Symbol" w:hint="default"/>
      </w:rPr>
    </w:lvl>
    <w:lvl w:ilvl="7" w:tplc="040C0003" w:tentative="1">
      <w:start w:val="1"/>
      <w:numFmt w:val="bullet"/>
      <w:lvlText w:val="o"/>
      <w:lvlJc w:val="left"/>
      <w:pPr>
        <w:ind w:left="7410" w:hanging="360"/>
      </w:pPr>
      <w:rPr>
        <w:rFonts w:ascii="Courier New" w:hAnsi="Courier New" w:hint="default"/>
      </w:rPr>
    </w:lvl>
    <w:lvl w:ilvl="8" w:tplc="040C0005" w:tentative="1">
      <w:start w:val="1"/>
      <w:numFmt w:val="bullet"/>
      <w:lvlText w:val=""/>
      <w:lvlJc w:val="left"/>
      <w:pPr>
        <w:ind w:left="8130" w:hanging="360"/>
      </w:pPr>
      <w:rPr>
        <w:rFonts w:ascii="Wingdings" w:hAnsi="Wingdings" w:hint="default"/>
      </w:rPr>
    </w:lvl>
  </w:abstractNum>
  <w:abstractNum w:abstractNumId="18" w15:restartNumberingAfterBreak="0">
    <w:nsid w:val="5C770254"/>
    <w:multiLevelType w:val="hybridMultilevel"/>
    <w:tmpl w:val="835E22FC"/>
    <w:lvl w:ilvl="0" w:tplc="097A0E00">
      <w:start w:val="1"/>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9" w15:restartNumberingAfterBreak="0">
    <w:nsid w:val="68F846A4"/>
    <w:multiLevelType w:val="hybridMultilevel"/>
    <w:tmpl w:val="B55E7E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6E3C4FE8"/>
    <w:multiLevelType w:val="hybridMultilevel"/>
    <w:tmpl w:val="2D6CF850"/>
    <w:lvl w:ilvl="0" w:tplc="040C000B">
      <w:start w:val="1"/>
      <w:numFmt w:val="bullet"/>
      <w:lvlText w:val=""/>
      <w:lvlJc w:val="left"/>
      <w:pPr>
        <w:ind w:left="720" w:hanging="360"/>
      </w:pPr>
      <w:rPr>
        <w:rFonts w:ascii="Wingdings" w:hAnsi="Wingdings" w:hint="default"/>
      </w:rPr>
    </w:lvl>
    <w:lvl w:ilvl="1" w:tplc="D820F2FA">
      <w:numFmt w:val="bullet"/>
      <w:lvlText w:val="-"/>
      <w:lvlJc w:val="left"/>
      <w:pPr>
        <w:ind w:left="1440" w:hanging="360"/>
      </w:pPr>
      <w:rPr>
        <w:rFonts w:ascii="Calibri" w:eastAsiaTheme="minorEastAsia"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D95916"/>
    <w:multiLevelType w:val="hybridMultilevel"/>
    <w:tmpl w:val="C62C114A"/>
    <w:lvl w:ilvl="0" w:tplc="D194BD2C">
      <w:start w:val="1"/>
      <w:numFmt w:val="upperLetter"/>
      <w:lvlText w:val="%1-"/>
      <w:lvlJc w:val="left"/>
      <w:pPr>
        <w:tabs>
          <w:tab w:val="num" w:pos="765"/>
        </w:tabs>
        <w:ind w:left="765" w:hanging="360"/>
      </w:pPr>
      <w:rPr>
        <w:rFonts w:cs="Times New Roman" w:hint="default"/>
        <w:i w:val="0"/>
        <w:u w:val="none"/>
      </w:rPr>
    </w:lvl>
    <w:lvl w:ilvl="1" w:tplc="040C0019" w:tentative="1">
      <w:start w:val="1"/>
      <w:numFmt w:val="lowerLetter"/>
      <w:lvlText w:val="%2."/>
      <w:lvlJc w:val="left"/>
      <w:pPr>
        <w:tabs>
          <w:tab w:val="num" w:pos="1485"/>
        </w:tabs>
        <w:ind w:left="1485" w:hanging="360"/>
      </w:pPr>
      <w:rPr>
        <w:rFonts w:cs="Times New Roman"/>
      </w:rPr>
    </w:lvl>
    <w:lvl w:ilvl="2" w:tplc="040C001B" w:tentative="1">
      <w:start w:val="1"/>
      <w:numFmt w:val="lowerRoman"/>
      <w:lvlText w:val="%3."/>
      <w:lvlJc w:val="right"/>
      <w:pPr>
        <w:tabs>
          <w:tab w:val="num" w:pos="2205"/>
        </w:tabs>
        <w:ind w:left="2205" w:hanging="180"/>
      </w:pPr>
      <w:rPr>
        <w:rFonts w:cs="Times New Roman"/>
      </w:rPr>
    </w:lvl>
    <w:lvl w:ilvl="3" w:tplc="040C000F" w:tentative="1">
      <w:start w:val="1"/>
      <w:numFmt w:val="decimal"/>
      <w:lvlText w:val="%4."/>
      <w:lvlJc w:val="left"/>
      <w:pPr>
        <w:tabs>
          <w:tab w:val="num" w:pos="2925"/>
        </w:tabs>
        <w:ind w:left="2925" w:hanging="360"/>
      </w:pPr>
      <w:rPr>
        <w:rFonts w:cs="Times New Roman"/>
      </w:rPr>
    </w:lvl>
    <w:lvl w:ilvl="4" w:tplc="040C0019" w:tentative="1">
      <w:start w:val="1"/>
      <w:numFmt w:val="lowerLetter"/>
      <w:lvlText w:val="%5."/>
      <w:lvlJc w:val="left"/>
      <w:pPr>
        <w:tabs>
          <w:tab w:val="num" w:pos="3645"/>
        </w:tabs>
        <w:ind w:left="3645" w:hanging="360"/>
      </w:pPr>
      <w:rPr>
        <w:rFonts w:cs="Times New Roman"/>
      </w:rPr>
    </w:lvl>
    <w:lvl w:ilvl="5" w:tplc="040C001B" w:tentative="1">
      <w:start w:val="1"/>
      <w:numFmt w:val="lowerRoman"/>
      <w:lvlText w:val="%6."/>
      <w:lvlJc w:val="right"/>
      <w:pPr>
        <w:tabs>
          <w:tab w:val="num" w:pos="4365"/>
        </w:tabs>
        <w:ind w:left="4365" w:hanging="180"/>
      </w:pPr>
      <w:rPr>
        <w:rFonts w:cs="Times New Roman"/>
      </w:rPr>
    </w:lvl>
    <w:lvl w:ilvl="6" w:tplc="040C000F" w:tentative="1">
      <w:start w:val="1"/>
      <w:numFmt w:val="decimal"/>
      <w:lvlText w:val="%7."/>
      <w:lvlJc w:val="left"/>
      <w:pPr>
        <w:tabs>
          <w:tab w:val="num" w:pos="5085"/>
        </w:tabs>
        <w:ind w:left="5085" w:hanging="360"/>
      </w:pPr>
      <w:rPr>
        <w:rFonts w:cs="Times New Roman"/>
      </w:rPr>
    </w:lvl>
    <w:lvl w:ilvl="7" w:tplc="040C0019" w:tentative="1">
      <w:start w:val="1"/>
      <w:numFmt w:val="lowerLetter"/>
      <w:lvlText w:val="%8."/>
      <w:lvlJc w:val="left"/>
      <w:pPr>
        <w:tabs>
          <w:tab w:val="num" w:pos="5805"/>
        </w:tabs>
        <w:ind w:left="5805" w:hanging="360"/>
      </w:pPr>
      <w:rPr>
        <w:rFonts w:cs="Times New Roman"/>
      </w:rPr>
    </w:lvl>
    <w:lvl w:ilvl="8" w:tplc="040C001B" w:tentative="1">
      <w:start w:val="1"/>
      <w:numFmt w:val="lowerRoman"/>
      <w:lvlText w:val="%9."/>
      <w:lvlJc w:val="right"/>
      <w:pPr>
        <w:tabs>
          <w:tab w:val="num" w:pos="6525"/>
        </w:tabs>
        <w:ind w:left="6525" w:hanging="180"/>
      </w:pPr>
      <w:rPr>
        <w:rFonts w:cs="Times New Roman"/>
      </w:rPr>
    </w:lvl>
  </w:abstractNum>
  <w:abstractNum w:abstractNumId="22" w15:restartNumberingAfterBreak="0">
    <w:nsid w:val="7E277345"/>
    <w:multiLevelType w:val="hybridMultilevel"/>
    <w:tmpl w:val="9732009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46364752">
    <w:abstractNumId w:val="4"/>
  </w:num>
  <w:num w:numId="2" w16cid:durableId="1376084264">
    <w:abstractNumId w:val="21"/>
  </w:num>
  <w:num w:numId="3" w16cid:durableId="882861191">
    <w:abstractNumId w:val="18"/>
  </w:num>
  <w:num w:numId="4" w16cid:durableId="1613784307">
    <w:abstractNumId w:val="2"/>
  </w:num>
  <w:num w:numId="5" w16cid:durableId="624896560">
    <w:abstractNumId w:val="11"/>
  </w:num>
  <w:num w:numId="6" w16cid:durableId="72633412">
    <w:abstractNumId w:val="0"/>
  </w:num>
  <w:num w:numId="7" w16cid:durableId="1651593376">
    <w:abstractNumId w:val="20"/>
  </w:num>
  <w:num w:numId="8" w16cid:durableId="1884635536">
    <w:abstractNumId w:val="12"/>
  </w:num>
  <w:num w:numId="9" w16cid:durableId="783577190">
    <w:abstractNumId w:val="22"/>
  </w:num>
  <w:num w:numId="10" w16cid:durableId="1476602128">
    <w:abstractNumId w:val="19"/>
  </w:num>
  <w:num w:numId="11" w16cid:durableId="466242598">
    <w:abstractNumId w:val="17"/>
  </w:num>
  <w:num w:numId="12" w16cid:durableId="1101073007">
    <w:abstractNumId w:val="14"/>
  </w:num>
  <w:num w:numId="13" w16cid:durableId="1385831138">
    <w:abstractNumId w:val="6"/>
  </w:num>
  <w:num w:numId="14" w16cid:durableId="880362464">
    <w:abstractNumId w:val="13"/>
  </w:num>
  <w:num w:numId="15" w16cid:durableId="483932301">
    <w:abstractNumId w:val="10"/>
  </w:num>
  <w:num w:numId="16" w16cid:durableId="2084638857">
    <w:abstractNumId w:val="1"/>
  </w:num>
  <w:num w:numId="17" w16cid:durableId="1205295571">
    <w:abstractNumId w:val="9"/>
  </w:num>
  <w:num w:numId="18" w16cid:durableId="157963933">
    <w:abstractNumId w:val="15"/>
  </w:num>
  <w:num w:numId="19" w16cid:durableId="103041011">
    <w:abstractNumId w:val="5"/>
  </w:num>
  <w:num w:numId="20" w16cid:durableId="1606689248">
    <w:abstractNumId w:val="3"/>
  </w:num>
  <w:num w:numId="21" w16cid:durableId="38894668">
    <w:abstractNumId w:val="8"/>
  </w:num>
  <w:num w:numId="22" w16cid:durableId="1201017955">
    <w:abstractNumId w:val="16"/>
  </w:num>
  <w:num w:numId="23" w16cid:durableId="2124686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F0945"/>
    <w:rsid w:val="00015BBB"/>
    <w:rsid w:val="00025011"/>
    <w:rsid w:val="00040C33"/>
    <w:rsid w:val="00041D19"/>
    <w:rsid w:val="00050E1B"/>
    <w:rsid w:val="000521F2"/>
    <w:rsid w:val="00055E27"/>
    <w:rsid w:val="00060B96"/>
    <w:rsid w:val="00065347"/>
    <w:rsid w:val="00067ECF"/>
    <w:rsid w:val="00073967"/>
    <w:rsid w:val="000760B0"/>
    <w:rsid w:val="000B3D8D"/>
    <w:rsid w:val="000D1B9F"/>
    <w:rsid w:val="000D32F0"/>
    <w:rsid w:val="000D7E37"/>
    <w:rsid w:val="000E03F2"/>
    <w:rsid w:val="0013576D"/>
    <w:rsid w:val="00136F19"/>
    <w:rsid w:val="00137878"/>
    <w:rsid w:val="001549F6"/>
    <w:rsid w:val="00160B06"/>
    <w:rsid w:val="0017744F"/>
    <w:rsid w:val="00180FFA"/>
    <w:rsid w:val="001820B7"/>
    <w:rsid w:val="00190C1F"/>
    <w:rsid w:val="001943BC"/>
    <w:rsid w:val="00197B05"/>
    <w:rsid w:val="001C7A2F"/>
    <w:rsid w:val="001D484D"/>
    <w:rsid w:val="001F5449"/>
    <w:rsid w:val="00200126"/>
    <w:rsid w:val="00212BBD"/>
    <w:rsid w:val="002228EB"/>
    <w:rsid w:val="00245603"/>
    <w:rsid w:val="00250A61"/>
    <w:rsid w:val="00261140"/>
    <w:rsid w:val="002641F6"/>
    <w:rsid w:val="0026481D"/>
    <w:rsid w:val="00271DD5"/>
    <w:rsid w:val="002834BF"/>
    <w:rsid w:val="00293CEA"/>
    <w:rsid w:val="002A026A"/>
    <w:rsid w:val="002A1D38"/>
    <w:rsid w:val="002A454B"/>
    <w:rsid w:val="002E4D13"/>
    <w:rsid w:val="002E5F14"/>
    <w:rsid w:val="0030566D"/>
    <w:rsid w:val="0030709E"/>
    <w:rsid w:val="00331DF4"/>
    <w:rsid w:val="0033298E"/>
    <w:rsid w:val="0033737F"/>
    <w:rsid w:val="0034010C"/>
    <w:rsid w:val="003607BB"/>
    <w:rsid w:val="00365B0C"/>
    <w:rsid w:val="00366B70"/>
    <w:rsid w:val="00377B57"/>
    <w:rsid w:val="003A0CE0"/>
    <w:rsid w:val="003B1425"/>
    <w:rsid w:val="003B6813"/>
    <w:rsid w:val="003C7E37"/>
    <w:rsid w:val="003F532E"/>
    <w:rsid w:val="00407185"/>
    <w:rsid w:val="00410883"/>
    <w:rsid w:val="00410D5D"/>
    <w:rsid w:val="00442649"/>
    <w:rsid w:val="00446F92"/>
    <w:rsid w:val="00454B1E"/>
    <w:rsid w:val="00465293"/>
    <w:rsid w:val="00476A26"/>
    <w:rsid w:val="00480404"/>
    <w:rsid w:val="00484A84"/>
    <w:rsid w:val="004929F5"/>
    <w:rsid w:val="00492AB9"/>
    <w:rsid w:val="00497A57"/>
    <w:rsid w:val="004A23A0"/>
    <w:rsid w:val="004A4F1E"/>
    <w:rsid w:val="004A7390"/>
    <w:rsid w:val="004D5021"/>
    <w:rsid w:val="004E1B3C"/>
    <w:rsid w:val="004E6A7A"/>
    <w:rsid w:val="004F3952"/>
    <w:rsid w:val="00504B5B"/>
    <w:rsid w:val="005102C0"/>
    <w:rsid w:val="005154F7"/>
    <w:rsid w:val="00521AD9"/>
    <w:rsid w:val="005231A9"/>
    <w:rsid w:val="00532C5A"/>
    <w:rsid w:val="00542319"/>
    <w:rsid w:val="00543A42"/>
    <w:rsid w:val="00551AFD"/>
    <w:rsid w:val="00552997"/>
    <w:rsid w:val="0056351E"/>
    <w:rsid w:val="005671BF"/>
    <w:rsid w:val="00575AED"/>
    <w:rsid w:val="00584C91"/>
    <w:rsid w:val="005861FA"/>
    <w:rsid w:val="00592D7C"/>
    <w:rsid w:val="005965FC"/>
    <w:rsid w:val="00597BFC"/>
    <w:rsid w:val="005A0AB7"/>
    <w:rsid w:val="005A13CF"/>
    <w:rsid w:val="005A6D9C"/>
    <w:rsid w:val="005B5A1F"/>
    <w:rsid w:val="005C27EC"/>
    <w:rsid w:val="005C401D"/>
    <w:rsid w:val="005D2AB4"/>
    <w:rsid w:val="005D3152"/>
    <w:rsid w:val="005D4FCB"/>
    <w:rsid w:val="005D631E"/>
    <w:rsid w:val="005E5BF5"/>
    <w:rsid w:val="005E6B45"/>
    <w:rsid w:val="005F7586"/>
    <w:rsid w:val="005F75ED"/>
    <w:rsid w:val="00613E55"/>
    <w:rsid w:val="0062120D"/>
    <w:rsid w:val="00625967"/>
    <w:rsid w:val="0062774A"/>
    <w:rsid w:val="006304A7"/>
    <w:rsid w:val="00632E6A"/>
    <w:rsid w:val="00645849"/>
    <w:rsid w:val="0065010D"/>
    <w:rsid w:val="00650B86"/>
    <w:rsid w:val="006514D9"/>
    <w:rsid w:val="00652148"/>
    <w:rsid w:val="00652FA4"/>
    <w:rsid w:val="00661502"/>
    <w:rsid w:val="0067551C"/>
    <w:rsid w:val="00675755"/>
    <w:rsid w:val="00680612"/>
    <w:rsid w:val="00691EAC"/>
    <w:rsid w:val="00692747"/>
    <w:rsid w:val="006A4908"/>
    <w:rsid w:val="006B4660"/>
    <w:rsid w:val="006B6AAC"/>
    <w:rsid w:val="006C1142"/>
    <w:rsid w:val="006C6D0C"/>
    <w:rsid w:val="006E0D20"/>
    <w:rsid w:val="006E3CF7"/>
    <w:rsid w:val="006E5A3B"/>
    <w:rsid w:val="006F0EA1"/>
    <w:rsid w:val="007012F1"/>
    <w:rsid w:val="007020F2"/>
    <w:rsid w:val="007051C0"/>
    <w:rsid w:val="0072254E"/>
    <w:rsid w:val="00722923"/>
    <w:rsid w:val="00727C01"/>
    <w:rsid w:val="007460EC"/>
    <w:rsid w:val="00782AD8"/>
    <w:rsid w:val="0079754B"/>
    <w:rsid w:val="007A1C57"/>
    <w:rsid w:val="007A616F"/>
    <w:rsid w:val="007B7610"/>
    <w:rsid w:val="007C6BD6"/>
    <w:rsid w:val="007F07C0"/>
    <w:rsid w:val="007F1A15"/>
    <w:rsid w:val="0080678E"/>
    <w:rsid w:val="00817163"/>
    <w:rsid w:val="00832121"/>
    <w:rsid w:val="008608C4"/>
    <w:rsid w:val="00875459"/>
    <w:rsid w:val="0088070B"/>
    <w:rsid w:val="008A1F89"/>
    <w:rsid w:val="008A4DCF"/>
    <w:rsid w:val="008A7249"/>
    <w:rsid w:val="008B213F"/>
    <w:rsid w:val="008B29F7"/>
    <w:rsid w:val="008B5720"/>
    <w:rsid w:val="008C01BF"/>
    <w:rsid w:val="008C40E1"/>
    <w:rsid w:val="008C590F"/>
    <w:rsid w:val="008C7BF5"/>
    <w:rsid w:val="008E17C6"/>
    <w:rsid w:val="008E689B"/>
    <w:rsid w:val="008F3DFE"/>
    <w:rsid w:val="0090658F"/>
    <w:rsid w:val="0091249F"/>
    <w:rsid w:val="00925D03"/>
    <w:rsid w:val="0093571C"/>
    <w:rsid w:val="00950ACB"/>
    <w:rsid w:val="00950BFE"/>
    <w:rsid w:val="009557AB"/>
    <w:rsid w:val="00966954"/>
    <w:rsid w:val="00982309"/>
    <w:rsid w:val="009A0186"/>
    <w:rsid w:val="009B30BF"/>
    <w:rsid w:val="009D06A7"/>
    <w:rsid w:val="009D11E7"/>
    <w:rsid w:val="009D3B01"/>
    <w:rsid w:val="009E0305"/>
    <w:rsid w:val="009E481A"/>
    <w:rsid w:val="009F3B5F"/>
    <w:rsid w:val="009F45BC"/>
    <w:rsid w:val="00A01193"/>
    <w:rsid w:val="00A013F4"/>
    <w:rsid w:val="00A0262D"/>
    <w:rsid w:val="00A06C65"/>
    <w:rsid w:val="00A21AC4"/>
    <w:rsid w:val="00A21C05"/>
    <w:rsid w:val="00A234AF"/>
    <w:rsid w:val="00A265C3"/>
    <w:rsid w:val="00A275E0"/>
    <w:rsid w:val="00A31832"/>
    <w:rsid w:val="00A404F9"/>
    <w:rsid w:val="00A41E74"/>
    <w:rsid w:val="00A600D5"/>
    <w:rsid w:val="00A65CAC"/>
    <w:rsid w:val="00A80724"/>
    <w:rsid w:val="00A877F2"/>
    <w:rsid w:val="00AB3A39"/>
    <w:rsid w:val="00AD53B7"/>
    <w:rsid w:val="00AD7E46"/>
    <w:rsid w:val="00AE3C89"/>
    <w:rsid w:val="00AE69B8"/>
    <w:rsid w:val="00AF3144"/>
    <w:rsid w:val="00B0311B"/>
    <w:rsid w:val="00B04CE5"/>
    <w:rsid w:val="00B05AAB"/>
    <w:rsid w:val="00B179E2"/>
    <w:rsid w:val="00B20EE1"/>
    <w:rsid w:val="00B41179"/>
    <w:rsid w:val="00B420EA"/>
    <w:rsid w:val="00B456D9"/>
    <w:rsid w:val="00B517CF"/>
    <w:rsid w:val="00B53832"/>
    <w:rsid w:val="00B72867"/>
    <w:rsid w:val="00B76C78"/>
    <w:rsid w:val="00B82EE7"/>
    <w:rsid w:val="00B94ED3"/>
    <w:rsid w:val="00BA0E6D"/>
    <w:rsid w:val="00BA5214"/>
    <w:rsid w:val="00BD5FE7"/>
    <w:rsid w:val="00BE0D92"/>
    <w:rsid w:val="00C10B00"/>
    <w:rsid w:val="00C309D4"/>
    <w:rsid w:val="00C523D4"/>
    <w:rsid w:val="00C6343D"/>
    <w:rsid w:val="00C71684"/>
    <w:rsid w:val="00C82FE1"/>
    <w:rsid w:val="00C90DC8"/>
    <w:rsid w:val="00C92BFF"/>
    <w:rsid w:val="00CB4840"/>
    <w:rsid w:val="00CD1A1A"/>
    <w:rsid w:val="00CD6987"/>
    <w:rsid w:val="00CD745A"/>
    <w:rsid w:val="00CE1ABD"/>
    <w:rsid w:val="00CE58ED"/>
    <w:rsid w:val="00CF3E96"/>
    <w:rsid w:val="00D0374D"/>
    <w:rsid w:val="00D07FA6"/>
    <w:rsid w:val="00D3267D"/>
    <w:rsid w:val="00D4186F"/>
    <w:rsid w:val="00D4513F"/>
    <w:rsid w:val="00D45F83"/>
    <w:rsid w:val="00D53630"/>
    <w:rsid w:val="00D61C8C"/>
    <w:rsid w:val="00D65240"/>
    <w:rsid w:val="00D74AB4"/>
    <w:rsid w:val="00D80895"/>
    <w:rsid w:val="00D87D7E"/>
    <w:rsid w:val="00D92EBE"/>
    <w:rsid w:val="00D9383A"/>
    <w:rsid w:val="00D93FA6"/>
    <w:rsid w:val="00DB367E"/>
    <w:rsid w:val="00DB3B60"/>
    <w:rsid w:val="00DB6E42"/>
    <w:rsid w:val="00DE3291"/>
    <w:rsid w:val="00DF7DC4"/>
    <w:rsid w:val="00E077EC"/>
    <w:rsid w:val="00E13C46"/>
    <w:rsid w:val="00E177A4"/>
    <w:rsid w:val="00E23905"/>
    <w:rsid w:val="00E27949"/>
    <w:rsid w:val="00E429F7"/>
    <w:rsid w:val="00E5217E"/>
    <w:rsid w:val="00E64726"/>
    <w:rsid w:val="00E725B9"/>
    <w:rsid w:val="00E77E23"/>
    <w:rsid w:val="00EB2D39"/>
    <w:rsid w:val="00EB5D17"/>
    <w:rsid w:val="00EC00AC"/>
    <w:rsid w:val="00EC7B17"/>
    <w:rsid w:val="00ED4941"/>
    <w:rsid w:val="00EE3306"/>
    <w:rsid w:val="00EF007F"/>
    <w:rsid w:val="00EF0473"/>
    <w:rsid w:val="00EF0945"/>
    <w:rsid w:val="00EF6EB2"/>
    <w:rsid w:val="00F1101F"/>
    <w:rsid w:val="00F26204"/>
    <w:rsid w:val="00F308E3"/>
    <w:rsid w:val="00F3197C"/>
    <w:rsid w:val="00F37A1D"/>
    <w:rsid w:val="00F51177"/>
    <w:rsid w:val="00F649B7"/>
    <w:rsid w:val="00F7423B"/>
    <w:rsid w:val="00F85010"/>
    <w:rsid w:val="00F86A7D"/>
    <w:rsid w:val="00F94290"/>
    <w:rsid w:val="00FA3FBB"/>
    <w:rsid w:val="00FB1C0C"/>
    <w:rsid w:val="00FB33CE"/>
    <w:rsid w:val="00FD21A0"/>
    <w:rsid w:val="00FD557B"/>
    <w:rsid w:val="00FD5AFA"/>
    <w:rsid w:val="00FD5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6C892FF3"/>
  <w15:docId w15:val="{4E545A39-DBCA-456E-8BCC-5B603E03C5B9}"/>
</w:settings>
</file>

<file path=word/styles.xml><?xml version="1.0" encoding="utf-8"?>
<w:styl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docDefaults>
    <w:rPrDefault>
      <w:rPr>
        <w:rFonts w:cs="Times New Roman" w:asciiTheme="minorHAnsi" w:hAnsiTheme="minorHAnsi" w:eastAsiaTheme="minorEastAsia"/>
        <w:sz w:val="22"/>
        <w:szCs w:val="22"/>
        <w:lang w:val="fr-FR" w:eastAsia="fr-FR"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E725B9"/>
    <w:pPr>
      <w:widowControl w:val="false"/>
      <w:autoSpaceDN w:val="false"/>
      <w:adjustRightInd w:val="false"/>
      <w:spacing w:after="0" w:line="240" w:lineRule="auto"/>
    </w:pPr>
    <w:rPr>
      <w:rFonts w:ascii="Times New Roman" w:hAnsi="Times New Roman"/>
      <w:sz w:val="20"/>
      <w:szCs w:val="20"/>
      <w:lang w:bidi="hi-IN"/>
    </w:rPr>
  </w:style>
  <w:style w:type="paragraph" w:styleId="Titre1">
    <w:name w:val="heading 1"/>
    <w:basedOn w:val="Normal"/>
    <w:next w:val="Normal"/>
    <w:link w:val="Titre1Car"/>
    <w:uiPriority w:val="99"/>
    <w:qFormat/>
    <w:rsid w:val="00E725B9"/>
    <w:pPr>
      <w:keepNext/>
      <w:ind w:left="5103"/>
      <w:outlineLvl w:val="0"/>
    </w:pPr>
    <w:rPr>
      <w:b/>
      <w:bCs/>
      <w:sz w:val="24"/>
      <w:szCs w:val="24"/>
    </w:rPr>
  </w:style>
  <w:style w:type="paragraph" w:styleId="Titre2">
    <w:name w:val="heading 2"/>
    <w:basedOn w:val="Normal"/>
    <w:next w:val="Normal"/>
    <w:link w:val="Titre2Car"/>
    <w:uiPriority w:val="9"/>
    <w:semiHidden/>
    <w:unhideWhenUsed/>
    <w:qFormat/>
    <w:rsid w:val="0062120D"/>
    <w:pPr>
      <w:keepNext/>
      <w:spacing w:before="240" w:after="60"/>
      <w:outlineLvl w:val="1"/>
    </w:pPr>
    <w:rPr>
      <w:rFonts w:cs="Mangal" w:asciiTheme="majorHAnsi" w:hAnsiTheme="majorHAnsi" w:eastAsiaTheme="majorEastAsia"/>
      <w:b/>
      <w:bCs/>
      <w:i/>
      <w:iCs/>
      <w:sz w:val="28"/>
      <w:szCs w:val="25"/>
    </w:rPr>
  </w:style>
  <w:style w:type="paragraph" w:styleId="Titre3">
    <w:name w:val="heading 3"/>
    <w:basedOn w:val="Normal"/>
    <w:next w:val="Normal"/>
    <w:link w:val="Titre3Car"/>
    <w:uiPriority w:val="9"/>
    <w:semiHidden/>
    <w:unhideWhenUsed/>
    <w:qFormat/>
    <w:rsid w:val="0062120D"/>
    <w:pPr>
      <w:keepNext/>
      <w:spacing w:before="240" w:after="60"/>
      <w:outlineLvl w:val="2"/>
    </w:pPr>
    <w:rPr>
      <w:rFonts w:cs="Mangal" w:asciiTheme="majorHAnsi" w:hAnsiTheme="majorHAnsi" w:eastAsiaTheme="majorEastAsia"/>
      <w:b/>
      <w:bCs/>
      <w:sz w:val="26"/>
      <w:szCs w:val="23"/>
    </w:rPr>
  </w:style>
  <w:style w:type="paragraph" w:styleId="Titre4">
    <w:name w:val="heading 4"/>
    <w:basedOn w:val="Normal"/>
    <w:next w:val="Normal"/>
    <w:link w:val="Titre4Car"/>
    <w:uiPriority w:val="9"/>
    <w:semiHidden/>
    <w:unhideWhenUsed/>
    <w:qFormat/>
    <w:rsid w:val="0062120D"/>
    <w:pPr>
      <w:keepNext/>
      <w:spacing w:before="240" w:after="60"/>
      <w:outlineLvl w:val="3"/>
    </w:pPr>
    <w:rPr>
      <w:rFonts w:cs="Mangal" w:asciiTheme="minorHAnsi" w:hAnsiTheme="minorHAnsi"/>
      <w:b/>
      <w:bCs/>
      <w:sz w:val="28"/>
      <w:szCs w:val="25"/>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E725B9"/>
    <w:rPr>
      <w:rFonts w:ascii="Cambria" w:hAnsi="Cambria" w:cs="Cambria"/>
      <w:b/>
      <w:bCs/>
      <w:sz w:val="32"/>
      <w:szCs w:val="32"/>
      <w:lang w:bidi="hi-IN"/>
    </w:rPr>
  </w:style>
  <w:style w:type="character" w:styleId="Titre2Car" w:customStyle="true">
    <w:name w:val="Titre 2 Car"/>
    <w:basedOn w:val="Policepardfaut"/>
    <w:link w:val="Titre2"/>
    <w:uiPriority w:val="9"/>
    <w:semiHidden/>
    <w:locked/>
    <w:rsid w:val="0062120D"/>
    <w:rPr>
      <w:rFonts w:cs="Mangal" w:asciiTheme="majorHAnsi" w:hAnsiTheme="majorHAnsi" w:eastAsiaTheme="majorEastAsia"/>
      <w:b/>
      <w:bCs/>
      <w:i/>
      <w:iCs/>
      <w:sz w:val="25"/>
      <w:szCs w:val="25"/>
      <w:lang w:bidi="hi-IN"/>
    </w:rPr>
  </w:style>
  <w:style w:type="character" w:styleId="Titre3Car" w:customStyle="true">
    <w:name w:val="Titre 3 Car"/>
    <w:basedOn w:val="Policepardfaut"/>
    <w:link w:val="Titre3"/>
    <w:uiPriority w:val="9"/>
    <w:semiHidden/>
    <w:locked/>
    <w:rsid w:val="0062120D"/>
    <w:rPr>
      <w:rFonts w:cs="Mangal" w:asciiTheme="majorHAnsi" w:hAnsiTheme="majorHAnsi" w:eastAsiaTheme="majorEastAsia"/>
      <w:b/>
      <w:bCs/>
      <w:sz w:val="23"/>
      <w:szCs w:val="23"/>
      <w:lang w:bidi="hi-IN"/>
    </w:rPr>
  </w:style>
  <w:style w:type="character" w:styleId="Titre4Car" w:customStyle="true">
    <w:name w:val="Titre 4 Car"/>
    <w:basedOn w:val="Policepardfaut"/>
    <w:link w:val="Titre4"/>
    <w:uiPriority w:val="9"/>
    <w:semiHidden/>
    <w:locked/>
    <w:rsid w:val="0062120D"/>
    <w:rPr>
      <w:rFonts w:cs="Mangal"/>
      <w:b/>
      <w:bCs/>
      <w:sz w:val="25"/>
      <w:szCs w:val="25"/>
      <w:lang w:bidi="hi-IN"/>
    </w:rPr>
  </w:style>
  <w:style w:type="paragraph" w:styleId="Heading" w:customStyle="true">
    <w:name w:val="Heading"/>
    <w:basedOn w:val="Normal"/>
    <w:next w:val="Corpsdetexte"/>
    <w:uiPriority w:val="99"/>
    <w:rsid w:val="00E725B9"/>
    <w:pPr>
      <w:keepNext/>
      <w:spacing w:before="240" w:after="120"/>
    </w:pPr>
    <w:rPr>
      <w:rFonts w:ascii="Arial" w:hAnsi="Arial" w:eastAsia="SimSun" w:cs="Tahoma"/>
      <w:sz w:val="28"/>
      <w:szCs w:val="28"/>
    </w:rPr>
  </w:style>
  <w:style w:type="paragraph" w:styleId="Corpsdetexte">
    <w:name w:val="Body Text"/>
    <w:basedOn w:val="Normal"/>
    <w:link w:val="CorpsdetexteCar"/>
    <w:uiPriority w:val="99"/>
    <w:rsid w:val="00E725B9"/>
    <w:pPr>
      <w:spacing w:after="120"/>
    </w:pPr>
  </w:style>
  <w:style w:type="character" w:styleId="CorpsdetexteCar" w:customStyle="true">
    <w:name w:val="Corps de texte Car"/>
    <w:basedOn w:val="Policepardfaut"/>
    <w:link w:val="Corpsdetexte"/>
    <w:uiPriority w:val="99"/>
    <w:locked/>
    <w:rsid w:val="00E725B9"/>
    <w:rPr>
      <w:rFonts w:ascii="Times New Roman" w:hAnsi="Times New Roman" w:cs="Mangal"/>
      <w:sz w:val="18"/>
      <w:szCs w:val="18"/>
      <w:lang w:bidi="hi-IN"/>
    </w:rPr>
  </w:style>
  <w:style w:type="paragraph" w:styleId="Liste">
    <w:name w:val="List"/>
    <w:basedOn w:val="Corpsdetexte"/>
    <w:uiPriority w:val="99"/>
    <w:rsid w:val="00E725B9"/>
  </w:style>
  <w:style w:type="paragraph" w:styleId="Lgende">
    <w:name w:val="caption"/>
    <w:basedOn w:val="Normal"/>
    <w:uiPriority w:val="99"/>
    <w:qFormat/>
    <w:rsid w:val="00E725B9"/>
    <w:pPr>
      <w:spacing w:before="120" w:after="120"/>
    </w:pPr>
    <w:rPr>
      <w:i/>
      <w:iCs/>
      <w:sz w:val="24"/>
      <w:szCs w:val="24"/>
    </w:rPr>
  </w:style>
  <w:style w:type="paragraph" w:styleId="Index" w:customStyle="true">
    <w:name w:val="Index"/>
    <w:basedOn w:val="Normal"/>
    <w:uiPriority w:val="99"/>
    <w:rsid w:val="00E725B9"/>
  </w:style>
  <w:style w:type="paragraph" w:styleId="Heading1" w:customStyle="true">
    <w:name w:val="Heading1"/>
    <w:basedOn w:val="Normal"/>
    <w:next w:val="Corpsdetexte"/>
    <w:uiPriority w:val="99"/>
    <w:rsid w:val="00E725B9"/>
    <w:pPr>
      <w:keepNext/>
      <w:spacing w:before="240" w:after="120"/>
    </w:pPr>
    <w:rPr>
      <w:rFonts w:ascii="Arial" w:hAnsi="Arial" w:eastAsia="SimSun" w:cs="Arial"/>
      <w:sz w:val="28"/>
      <w:szCs w:val="28"/>
    </w:rPr>
  </w:style>
  <w:style w:type="paragraph" w:styleId="En-tte">
    <w:name w:val="header"/>
    <w:basedOn w:val="Normal"/>
    <w:link w:val="En-tteCar"/>
    <w:uiPriority w:val="99"/>
    <w:rsid w:val="00E725B9"/>
    <w:pPr>
      <w:tabs>
        <w:tab w:val="center" w:pos="4320"/>
        <w:tab w:val="right" w:pos="8640"/>
      </w:tabs>
    </w:pPr>
  </w:style>
  <w:style w:type="character" w:styleId="En-tteCar" w:customStyle="true">
    <w:name w:val="En-tête Car"/>
    <w:basedOn w:val="Policepardfaut"/>
    <w:link w:val="En-tte"/>
    <w:uiPriority w:val="99"/>
    <w:locked/>
    <w:rsid w:val="00E725B9"/>
    <w:rPr>
      <w:rFonts w:cs="Times New Roman"/>
      <w:sz w:val="20"/>
      <w:szCs w:val="20"/>
      <w:lang w:bidi="hi-IN"/>
    </w:rPr>
  </w:style>
  <w:style w:type="paragraph" w:styleId="Pieddepage">
    <w:name w:val="footer"/>
    <w:basedOn w:val="Normal"/>
    <w:link w:val="PieddepageCar"/>
    <w:uiPriority w:val="99"/>
    <w:rsid w:val="00E725B9"/>
    <w:pPr>
      <w:tabs>
        <w:tab w:val="center" w:pos="4320"/>
        <w:tab w:val="right" w:pos="8640"/>
      </w:tabs>
    </w:pPr>
  </w:style>
  <w:style w:type="character" w:styleId="PieddepageCar" w:customStyle="true">
    <w:name w:val="Pied de page Car"/>
    <w:basedOn w:val="Policepardfaut"/>
    <w:link w:val="Pieddepage"/>
    <w:uiPriority w:val="99"/>
    <w:locked/>
    <w:rsid w:val="00E725B9"/>
    <w:rPr>
      <w:rFonts w:cs="Times New Roman"/>
      <w:sz w:val="20"/>
      <w:szCs w:val="20"/>
      <w:lang w:bidi="hi-IN"/>
    </w:rPr>
  </w:style>
  <w:style w:type="paragraph" w:styleId="-PAGE-" w:customStyle="true">
    <w:name w:val="- PAGE -"/>
    <w:uiPriority w:val="99"/>
    <w:rsid w:val="00E725B9"/>
    <w:pPr>
      <w:widowControl w:val="false"/>
      <w:autoSpaceDN w:val="false"/>
      <w:adjustRightInd w:val="false"/>
      <w:spacing w:after="0" w:line="240" w:lineRule="auto"/>
    </w:pPr>
    <w:rPr>
      <w:rFonts w:ascii="Times New Roman" w:hAnsi="Times New Roman"/>
      <w:sz w:val="20"/>
      <w:szCs w:val="20"/>
      <w:lang w:bidi="hi-IN"/>
    </w:rPr>
  </w:style>
  <w:style w:type="paragraph" w:styleId="WW-header" w:customStyle="true">
    <w:name w:val="WW-header"/>
    <w:basedOn w:val="Normal"/>
    <w:uiPriority w:val="99"/>
    <w:rsid w:val="00E725B9"/>
    <w:pPr>
      <w:tabs>
        <w:tab w:val="center" w:pos="4960"/>
        <w:tab w:val="right" w:pos="9921"/>
      </w:tabs>
    </w:pPr>
  </w:style>
  <w:style w:type="paragraph" w:styleId="WW-footer" w:customStyle="true">
    <w:name w:val="WW-footer"/>
    <w:basedOn w:val="Normal"/>
    <w:uiPriority w:val="99"/>
    <w:rsid w:val="00E725B9"/>
    <w:pPr>
      <w:tabs>
        <w:tab w:val="center" w:pos="4960"/>
        <w:tab w:val="right" w:pos="9921"/>
      </w:tabs>
    </w:pPr>
  </w:style>
  <w:style w:type="paragraph" w:styleId="TableContents" w:customStyle="true">
    <w:name w:val="Table Contents"/>
    <w:basedOn w:val="Normal"/>
    <w:uiPriority w:val="99"/>
    <w:rsid w:val="00E725B9"/>
  </w:style>
  <w:style w:type="paragraph" w:styleId="TableHeading" w:customStyle="true">
    <w:name w:val="Table Heading"/>
    <w:basedOn w:val="TableContents"/>
    <w:uiPriority w:val="99"/>
    <w:rsid w:val="00E725B9"/>
    <w:pPr>
      <w:jc w:val="center"/>
    </w:pPr>
    <w:rPr>
      <w:b/>
      <w:bCs/>
    </w:rPr>
  </w:style>
  <w:style w:type="paragraph" w:styleId="TableContents1" w:customStyle="true">
    <w:name w:val="Table Contents1"/>
    <w:basedOn w:val="Normal"/>
    <w:uiPriority w:val="99"/>
    <w:rsid w:val="00E725B9"/>
  </w:style>
  <w:style w:type="paragraph" w:styleId="TableHeading1" w:customStyle="true">
    <w:name w:val="Table Heading1"/>
    <w:basedOn w:val="TableContents1"/>
    <w:uiPriority w:val="99"/>
    <w:rsid w:val="00E725B9"/>
    <w:pPr>
      <w:jc w:val="center"/>
    </w:pPr>
    <w:rPr>
      <w:b/>
      <w:bCs/>
    </w:rPr>
  </w:style>
  <w:style w:type="character" w:styleId="RTFNum21" w:customStyle="true">
    <w:name w:val="RTF_Num 2 1"/>
    <w:uiPriority w:val="99"/>
    <w:rsid w:val="00E725B9"/>
  </w:style>
  <w:style w:type="paragraph" w:styleId="Titre">
    <w:name w:val="Title"/>
    <w:basedOn w:val="Normal"/>
    <w:link w:val="TitreCar"/>
    <w:uiPriority w:val="10"/>
    <w:qFormat/>
    <w:rsid w:val="00EF0945"/>
    <w:pPr>
      <w:widowControl/>
      <w:autoSpaceDN/>
      <w:adjustRightInd/>
      <w:jc w:val="center"/>
    </w:pPr>
    <w:rPr>
      <w:rFonts w:ascii="Bookman Old Style" w:hAnsi="Bookman Old Style"/>
      <w:b/>
      <w:sz w:val="28"/>
      <w:szCs w:val="24"/>
      <w:lang w:bidi="ar-SA"/>
    </w:rPr>
  </w:style>
  <w:style w:type="character" w:styleId="TitreCar" w:customStyle="true">
    <w:name w:val="Titre Car"/>
    <w:basedOn w:val="Policepardfaut"/>
    <w:link w:val="Titre"/>
    <w:uiPriority w:val="10"/>
    <w:locked/>
    <w:rsid w:val="00EF0945"/>
    <w:rPr>
      <w:rFonts w:ascii="Bookman Old Style" w:hAnsi="Bookman Old Style" w:cs="Times New Roman"/>
      <w:b/>
      <w:sz w:val="24"/>
      <w:szCs w:val="24"/>
    </w:rPr>
  </w:style>
  <w:style w:type="table" w:styleId="Grilledutableau">
    <w:name w:val="Table Grid"/>
    <w:basedOn w:val="TableauNormal"/>
    <w:uiPriority w:val="59"/>
    <w:rsid w:val="001774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sdetexte2">
    <w:name w:val="Body Text 2"/>
    <w:basedOn w:val="Normal"/>
    <w:link w:val="Corpsdetexte2Car"/>
    <w:uiPriority w:val="99"/>
    <w:unhideWhenUsed/>
    <w:rsid w:val="0062120D"/>
    <w:pPr>
      <w:spacing w:after="120" w:line="480" w:lineRule="auto"/>
    </w:pPr>
    <w:rPr>
      <w:rFonts w:cs="Mangal"/>
      <w:szCs w:val="18"/>
    </w:rPr>
  </w:style>
  <w:style w:type="character" w:styleId="Corpsdetexte2Car" w:customStyle="true">
    <w:name w:val="Corps de texte 2 Car"/>
    <w:basedOn w:val="Policepardfaut"/>
    <w:link w:val="Corpsdetexte2"/>
    <w:uiPriority w:val="99"/>
    <w:locked/>
    <w:rsid w:val="0062120D"/>
    <w:rPr>
      <w:rFonts w:ascii="Times New Roman" w:hAnsi="Times New Roman" w:cs="Mangal"/>
      <w:sz w:val="18"/>
      <w:szCs w:val="18"/>
      <w:lang w:bidi="hi-IN"/>
    </w:rPr>
  </w:style>
  <w:style w:type="paragraph" w:styleId="Citationintense">
    <w:name w:val="Intense Quote"/>
    <w:basedOn w:val="Normal"/>
    <w:next w:val="Normal"/>
    <w:link w:val="CitationintenseCar"/>
    <w:uiPriority w:val="30"/>
    <w:qFormat/>
    <w:rsid w:val="00410883"/>
    <w:pPr>
      <w:pBdr>
        <w:bottom w:val="single" w:color="4F81BD" w:themeColor="accent1" w:sz="4" w:space="4"/>
      </w:pBdr>
      <w:spacing w:before="200" w:after="280"/>
      <w:ind w:left="936" w:right="936"/>
    </w:pPr>
    <w:rPr>
      <w:rFonts w:cs="Mangal"/>
      <w:b/>
      <w:bCs/>
      <w:i/>
      <w:iCs/>
      <w:color w:val="4F81BD" w:themeColor="accent1"/>
      <w:szCs w:val="18"/>
    </w:rPr>
  </w:style>
  <w:style w:type="character" w:styleId="CitationintenseCar" w:customStyle="true">
    <w:name w:val="Citation intense Car"/>
    <w:basedOn w:val="Policepardfaut"/>
    <w:link w:val="Citationintense"/>
    <w:uiPriority w:val="30"/>
    <w:locked/>
    <w:rsid w:val="00410883"/>
    <w:rPr>
      <w:rFonts w:ascii="Times New Roman" w:hAnsi="Times New Roman" w:cs="Mangal"/>
      <w:b/>
      <w:bCs/>
      <w:i/>
      <w:iCs/>
      <w:color w:val="4F81BD" w:themeColor="accent1"/>
      <w:sz w:val="18"/>
      <w:szCs w:val="18"/>
      <w:lang w:bidi="hi-IN"/>
    </w:rPr>
  </w:style>
  <w:style w:type="paragraph" w:styleId="NormalWeb">
    <w:name w:val="Normal (Web)"/>
    <w:basedOn w:val="Normal"/>
    <w:uiPriority w:val="99"/>
    <w:unhideWhenUsed/>
    <w:rsid w:val="005E6B45"/>
    <w:pPr>
      <w:widowControl/>
      <w:autoSpaceDN/>
      <w:adjustRightInd/>
      <w:spacing w:before="100" w:beforeAutospacing="true" w:after="100" w:afterAutospacing="true"/>
    </w:pPr>
    <w:rPr>
      <w:sz w:val="24"/>
      <w:szCs w:val="24"/>
      <w:lang w:bidi="ar-SA"/>
    </w:rPr>
  </w:style>
  <w:style w:type="character" w:styleId="Lienhypertexte">
    <w:name w:val="Hyperlink"/>
    <w:basedOn w:val="Policepardfaut"/>
    <w:uiPriority w:val="99"/>
    <w:semiHidden/>
    <w:unhideWhenUsed/>
    <w:rsid w:val="005E6B45"/>
    <w:rPr>
      <w:rFonts w:cs="Times New Roman"/>
      <w:color w:val="0000FF"/>
      <w:u w:val="single"/>
    </w:rPr>
  </w:style>
  <w:style w:type="paragraph" w:styleId="Textedebulles">
    <w:name w:val="Balloon Text"/>
    <w:basedOn w:val="Normal"/>
    <w:link w:val="TextedebullesCar"/>
    <w:uiPriority w:val="99"/>
    <w:semiHidden/>
    <w:unhideWhenUsed/>
    <w:rsid w:val="00632E6A"/>
    <w:rPr>
      <w:rFonts w:ascii="Tahoma" w:hAnsi="Tahoma" w:cs="Mangal"/>
      <w:sz w:val="16"/>
      <w:szCs w:val="14"/>
    </w:rPr>
  </w:style>
  <w:style w:type="character" w:styleId="TextedebullesCar" w:customStyle="true">
    <w:name w:val="Texte de bulles Car"/>
    <w:basedOn w:val="Policepardfaut"/>
    <w:link w:val="Textedebulles"/>
    <w:uiPriority w:val="99"/>
    <w:semiHidden/>
    <w:locked/>
    <w:rsid w:val="00632E6A"/>
    <w:rPr>
      <w:rFonts w:ascii="Tahoma" w:hAnsi="Tahoma" w:cs="Mangal"/>
      <w:sz w:val="14"/>
      <w:szCs w:val="14"/>
      <w:lang w:bidi="hi-IN"/>
    </w:rPr>
  </w:style>
  <w:style w:type="character" w:styleId="lev">
    <w:name w:val="Strong"/>
    <w:basedOn w:val="Policepardfaut"/>
    <w:uiPriority w:val="22"/>
    <w:qFormat/>
    <w:rsid w:val="00410D5D"/>
    <w:rPr>
      <w:rFonts w:cs="Times New Roman"/>
      <w:b/>
    </w:rPr>
  </w:style>
  <w:style w:type="character" w:styleId="Accentuationintense">
    <w:name w:val="Intense Emphasis"/>
    <w:basedOn w:val="Policepardfaut"/>
    <w:uiPriority w:val="21"/>
    <w:qFormat/>
    <w:rsid w:val="00C90DC8"/>
    <w:rPr>
      <w:rFonts w:cs="Times New Roman"/>
      <w:b/>
      <w:bCs/>
      <w:i/>
      <w:iCs/>
      <w:color w:val="4F81BD" w:themeColor="accent1"/>
    </w:rPr>
  </w:style>
  <w:style w:type="character" w:styleId="Accentuation">
    <w:name w:val="Emphasis"/>
    <w:basedOn w:val="Policepardfaut"/>
    <w:uiPriority w:val="20"/>
    <w:qFormat/>
    <w:rsid w:val="00C90DC8"/>
    <w:rPr>
      <w:rFonts w:cs="Times New Roman"/>
      <w:i/>
      <w:iCs/>
    </w:rPr>
  </w:style>
  <w:style w:type="paragraph" w:styleId="TextecourantFIDES" w:customStyle="true">
    <w:name w:val="Texte courant FIDES"/>
    <w:basedOn w:val="Normal"/>
    <w:qFormat/>
    <w:rsid w:val="008C590F"/>
    <w:pPr>
      <w:suppressAutoHyphens/>
      <w:autoSpaceDE w:val="false"/>
      <w:textAlignment w:val="center"/>
    </w:pPr>
    <w:rPr>
      <w:rFonts w:cs="ArialMT" w:asciiTheme="majorHAnsi" w:hAnsiTheme="majorHAnsi" w:eastAsiaTheme="minorHAnsi"/>
      <w:color w:val="747585"/>
      <w:lang w:eastAsia="en-US" w:bidi="ar-SA"/>
    </w:rPr>
  </w:style>
  <w:style w:type="paragraph" w:styleId="Paragraphedeliste">
    <w:name w:val="List Paragraph"/>
    <w:basedOn w:val="Normal"/>
    <w:uiPriority w:val="34"/>
    <w:qFormat/>
    <w:rsid w:val="008C590F"/>
    <w:pPr>
      <w:widowControl/>
      <w:autoSpaceDN/>
      <w:adjustRightInd/>
      <w:ind w:left="720"/>
      <w:contextualSpacing/>
    </w:pPr>
    <w:rPr>
      <w:rFonts w:asciiTheme="minorHAnsi" w:hAnsiTheme="minorHAnsi" w:eastAsiaTheme="minorHAnsi" w:cstheme="minorBidi"/>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14079">
      <w:marLeft w:val="0"/>
      <w:marRight w:val="0"/>
      <w:marTop w:val="0"/>
      <w:marBottom w:val="0"/>
      <w:divBdr>
        <w:top w:val="none" w:sz="0" w:space="0" w:color="auto"/>
        <w:left w:val="none" w:sz="0" w:space="0" w:color="auto"/>
        <w:bottom w:val="none" w:sz="0" w:space="0" w:color="auto"/>
        <w:right w:val="none" w:sz="0" w:space="0" w:color="auto"/>
      </w:divBdr>
      <w:divsChild>
        <w:div w:id="1104614084">
          <w:marLeft w:val="0"/>
          <w:marRight w:val="0"/>
          <w:marTop w:val="0"/>
          <w:marBottom w:val="0"/>
          <w:divBdr>
            <w:top w:val="none" w:sz="0" w:space="0" w:color="auto"/>
            <w:left w:val="none" w:sz="0" w:space="0" w:color="auto"/>
            <w:bottom w:val="none" w:sz="0" w:space="0" w:color="auto"/>
            <w:right w:val="none" w:sz="0" w:space="0" w:color="auto"/>
          </w:divBdr>
          <w:divsChild>
            <w:div w:id="1104614089">
              <w:marLeft w:val="0"/>
              <w:marRight w:val="0"/>
              <w:marTop w:val="0"/>
              <w:marBottom w:val="0"/>
              <w:divBdr>
                <w:top w:val="none" w:sz="0" w:space="0" w:color="auto"/>
                <w:left w:val="none" w:sz="0" w:space="0" w:color="auto"/>
                <w:bottom w:val="none" w:sz="0" w:space="0" w:color="auto"/>
                <w:right w:val="none" w:sz="0" w:space="0" w:color="auto"/>
              </w:divBdr>
              <w:divsChild>
                <w:div w:id="1104614102">
                  <w:marLeft w:val="0"/>
                  <w:marRight w:val="0"/>
                  <w:marTop w:val="0"/>
                  <w:marBottom w:val="0"/>
                  <w:divBdr>
                    <w:top w:val="none" w:sz="0" w:space="0" w:color="auto"/>
                    <w:left w:val="none" w:sz="0" w:space="0" w:color="auto"/>
                    <w:bottom w:val="none" w:sz="0" w:space="0" w:color="auto"/>
                    <w:right w:val="none" w:sz="0" w:space="0" w:color="auto"/>
                  </w:divBdr>
                  <w:divsChild>
                    <w:div w:id="1104614087">
                      <w:marLeft w:val="0"/>
                      <w:marRight w:val="0"/>
                      <w:marTop w:val="0"/>
                      <w:marBottom w:val="0"/>
                      <w:divBdr>
                        <w:top w:val="none" w:sz="0" w:space="0" w:color="auto"/>
                        <w:left w:val="none" w:sz="0" w:space="0" w:color="auto"/>
                        <w:bottom w:val="none" w:sz="0" w:space="0" w:color="auto"/>
                        <w:right w:val="none" w:sz="0" w:space="0" w:color="auto"/>
                      </w:divBdr>
                      <w:divsChild>
                        <w:div w:id="1104614085">
                          <w:marLeft w:val="0"/>
                          <w:marRight w:val="0"/>
                          <w:marTop w:val="0"/>
                          <w:marBottom w:val="0"/>
                          <w:divBdr>
                            <w:top w:val="none" w:sz="0" w:space="0" w:color="auto"/>
                            <w:left w:val="none" w:sz="0" w:space="0" w:color="auto"/>
                            <w:bottom w:val="none" w:sz="0" w:space="0" w:color="auto"/>
                            <w:right w:val="none" w:sz="0" w:space="0" w:color="auto"/>
                          </w:divBdr>
                          <w:divsChild>
                            <w:div w:id="1104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4088">
      <w:marLeft w:val="0"/>
      <w:marRight w:val="0"/>
      <w:marTop w:val="0"/>
      <w:marBottom w:val="0"/>
      <w:divBdr>
        <w:top w:val="none" w:sz="0" w:space="0" w:color="auto"/>
        <w:left w:val="none" w:sz="0" w:space="0" w:color="auto"/>
        <w:bottom w:val="none" w:sz="0" w:space="0" w:color="auto"/>
        <w:right w:val="none" w:sz="0" w:space="0" w:color="auto"/>
      </w:divBdr>
      <w:divsChild>
        <w:div w:id="1104614094">
          <w:marLeft w:val="0"/>
          <w:marRight w:val="0"/>
          <w:marTop w:val="0"/>
          <w:marBottom w:val="0"/>
          <w:divBdr>
            <w:top w:val="none" w:sz="0" w:space="0" w:color="auto"/>
            <w:left w:val="none" w:sz="0" w:space="0" w:color="auto"/>
            <w:bottom w:val="none" w:sz="0" w:space="0" w:color="auto"/>
            <w:right w:val="none" w:sz="0" w:space="0" w:color="auto"/>
          </w:divBdr>
          <w:divsChild>
            <w:div w:id="1104614100">
              <w:marLeft w:val="0"/>
              <w:marRight w:val="0"/>
              <w:marTop w:val="0"/>
              <w:marBottom w:val="0"/>
              <w:divBdr>
                <w:top w:val="none" w:sz="0" w:space="0" w:color="auto"/>
                <w:left w:val="none" w:sz="0" w:space="0" w:color="auto"/>
                <w:bottom w:val="none" w:sz="0" w:space="0" w:color="auto"/>
                <w:right w:val="none" w:sz="0" w:space="0" w:color="auto"/>
              </w:divBdr>
              <w:divsChild>
                <w:div w:id="1104614081">
                  <w:marLeft w:val="0"/>
                  <w:marRight w:val="0"/>
                  <w:marTop w:val="0"/>
                  <w:marBottom w:val="0"/>
                  <w:divBdr>
                    <w:top w:val="none" w:sz="0" w:space="0" w:color="auto"/>
                    <w:left w:val="none" w:sz="0" w:space="0" w:color="auto"/>
                    <w:bottom w:val="none" w:sz="0" w:space="0" w:color="auto"/>
                    <w:right w:val="none" w:sz="0" w:space="0" w:color="auto"/>
                  </w:divBdr>
                  <w:divsChild>
                    <w:div w:id="1104614095">
                      <w:marLeft w:val="0"/>
                      <w:marRight w:val="0"/>
                      <w:marTop w:val="0"/>
                      <w:marBottom w:val="0"/>
                      <w:divBdr>
                        <w:top w:val="none" w:sz="0" w:space="0" w:color="auto"/>
                        <w:left w:val="none" w:sz="0" w:space="0" w:color="auto"/>
                        <w:bottom w:val="none" w:sz="0" w:space="0" w:color="auto"/>
                        <w:right w:val="none" w:sz="0" w:space="0" w:color="auto"/>
                      </w:divBdr>
                      <w:divsChild>
                        <w:div w:id="1104614093">
                          <w:marLeft w:val="0"/>
                          <w:marRight w:val="0"/>
                          <w:marTop w:val="0"/>
                          <w:marBottom w:val="0"/>
                          <w:divBdr>
                            <w:top w:val="none" w:sz="0" w:space="0" w:color="auto"/>
                            <w:left w:val="none" w:sz="0" w:space="0" w:color="auto"/>
                            <w:bottom w:val="none" w:sz="0" w:space="0" w:color="auto"/>
                            <w:right w:val="none" w:sz="0" w:space="0" w:color="auto"/>
                          </w:divBdr>
                          <w:divsChild>
                            <w:div w:id="11046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14097">
      <w:marLeft w:val="0"/>
      <w:marRight w:val="0"/>
      <w:marTop w:val="0"/>
      <w:marBottom w:val="0"/>
      <w:divBdr>
        <w:top w:val="none" w:sz="0" w:space="0" w:color="auto"/>
        <w:left w:val="none" w:sz="0" w:space="0" w:color="auto"/>
        <w:bottom w:val="none" w:sz="0" w:space="0" w:color="auto"/>
        <w:right w:val="none" w:sz="0" w:space="0" w:color="auto"/>
      </w:divBdr>
    </w:div>
    <w:div w:id="1104614098">
      <w:marLeft w:val="0"/>
      <w:marRight w:val="0"/>
      <w:marTop w:val="0"/>
      <w:marBottom w:val="0"/>
      <w:divBdr>
        <w:top w:val="none" w:sz="0" w:space="0" w:color="auto"/>
        <w:left w:val="none" w:sz="0" w:space="0" w:color="auto"/>
        <w:bottom w:val="none" w:sz="0" w:space="0" w:color="auto"/>
        <w:right w:val="none" w:sz="0" w:space="0" w:color="auto"/>
      </w:divBdr>
    </w:div>
    <w:div w:id="1104614099">
      <w:marLeft w:val="0"/>
      <w:marRight w:val="0"/>
      <w:marTop w:val="0"/>
      <w:marBottom w:val="0"/>
      <w:divBdr>
        <w:top w:val="none" w:sz="0" w:space="0" w:color="auto"/>
        <w:left w:val="none" w:sz="0" w:space="0" w:color="auto"/>
        <w:bottom w:val="none" w:sz="0" w:space="0" w:color="auto"/>
        <w:right w:val="none" w:sz="0" w:space="0" w:color="auto"/>
      </w:divBdr>
    </w:div>
    <w:div w:id="1104614101">
      <w:marLeft w:val="0"/>
      <w:marRight w:val="0"/>
      <w:marTop w:val="0"/>
      <w:marBottom w:val="0"/>
      <w:divBdr>
        <w:top w:val="none" w:sz="0" w:space="0" w:color="auto"/>
        <w:left w:val="none" w:sz="0" w:space="0" w:color="auto"/>
        <w:bottom w:val="none" w:sz="0" w:space="0" w:color="auto"/>
        <w:right w:val="none" w:sz="0" w:space="0" w:color="auto"/>
      </w:divBdr>
      <w:divsChild>
        <w:div w:id="1104614092">
          <w:marLeft w:val="0"/>
          <w:marRight w:val="0"/>
          <w:marTop w:val="0"/>
          <w:marBottom w:val="0"/>
          <w:divBdr>
            <w:top w:val="none" w:sz="0" w:space="0" w:color="auto"/>
            <w:left w:val="none" w:sz="0" w:space="0" w:color="auto"/>
            <w:bottom w:val="none" w:sz="0" w:space="0" w:color="auto"/>
            <w:right w:val="none" w:sz="0" w:space="0" w:color="auto"/>
          </w:divBdr>
          <w:divsChild>
            <w:div w:id="1104614080">
              <w:marLeft w:val="0"/>
              <w:marRight w:val="0"/>
              <w:marTop w:val="0"/>
              <w:marBottom w:val="0"/>
              <w:divBdr>
                <w:top w:val="none" w:sz="0" w:space="0" w:color="auto"/>
                <w:left w:val="none" w:sz="0" w:space="0" w:color="auto"/>
                <w:bottom w:val="none" w:sz="0" w:space="0" w:color="auto"/>
                <w:right w:val="none" w:sz="0" w:space="0" w:color="auto"/>
              </w:divBdr>
              <w:divsChild>
                <w:div w:id="1104614082">
                  <w:marLeft w:val="0"/>
                  <w:marRight w:val="0"/>
                  <w:marTop w:val="0"/>
                  <w:marBottom w:val="0"/>
                  <w:divBdr>
                    <w:top w:val="none" w:sz="0" w:space="0" w:color="auto"/>
                    <w:left w:val="none" w:sz="0" w:space="0" w:color="auto"/>
                    <w:bottom w:val="none" w:sz="0" w:space="0" w:color="auto"/>
                    <w:right w:val="none" w:sz="0" w:space="0" w:color="auto"/>
                  </w:divBdr>
                  <w:divsChild>
                    <w:div w:id="1104614083">
                      <w:marLeft w:val="0"/>
                      <w:marRight w:val="0"/>
                      <w:marTop w:val="0"/>
                      <w:marBottom w:val="0"/>
                      <w:divBdr>
                        <w:top w:val="none" w:sz="0" w:space="0" w:color="auto"/>
                        <w:left w:val="none" w:sz="0" w:space="0" w:color="auto"/>
                        <w:bottom w:val="none" w:sz="0" w:space="0" w:color="auto"/>
                        <w:right w:val="none" w:sz="0" w:space="0" w:color="auto"/>
                      </w:divBdr>
                      <w:divsChild>
                        <w:div w:id="1104614096">
                          <w:marLeft w:val="0"/>
                          <w:marRight w:val="0"/>
                          <w:marTop w:val="0"/>
                          <w:marBottom w:val="0"/>
                          <w:divBdr>
                            <w:top w:val="none" w:sz="0" w:space="0" w:color="auto"/>
                            <w:left w:val="none" w:sz="0" w:space="0" w:color="auto"/>
                            <w:bottom w:val="none" w:sz="0" w:space="0" w:color="auto"/>
                            <w:right w:val="none" w:sz="0" w:space="0" w:color="auto"/>
                          </w:divBdr>
                          <w:divsChild>
                            <w:div w:id="1104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TargetMode="External" Target="http://droit-finances.commentcamarche.net/legifrance/3-code-de-commerce/7814/article-l621-10" Type="http://schemas.openxmlformats.org/officeDocument/2006/relationships/hyperlink" Id="rId8"/>
    <Relationship Target="styles.xml" Type="http://schemas.openxmlformats.org/officeDocument/2006/relationships/styles" Id="rId3"/>
    <Relationship TargetMode="External" Target="http://droit-finances.commentcamarche.net/legifrance/3-code-de-commerce/7814/article-l621-10" Type="http://schemas.openxmlformats.org/officeDocument/2006/relationships/hyperlink" Id="rId7"/>
    <Relationship Target="numbering.xml" Type="http://schemas.openxmlformats.org/officeDocument/2006/relationships/numbering" Id="rId2"/>
    <Relationship Target="../customXml/item1.xml" Type="http://schemas.openxmlformats.org/officeDocument/2006/relationships/customXml" Id="rId1"/>
    <Relationship TargetMode="External" Target="http://droit-finances.commentcamarche.net/legifrance/3-code-de-commerce/2479/article-l622-17" Type="http://schemas.openxmlformats.org/officeDocument/2006/relationships/hyperlink"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31C91E9-4029-47EB-8EE7-D185CDDCED1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3314</Words>
  <Characters>18229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Jean ASTIER</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ASTIER</dc:title>
  <dc:subject/>
  <dc:creator>amelpassif</dc:creator>
  <cp:keywords/>
  <dc:description/>
  <cp:lastModifiedBy>Sylvie URGEL</cp:lastModifiedBy>
  <cp:revision>33</cp:revision>
  <cp:lastPrinted>2011-07-04T08:49:00Z</cp:lastPrinted>
  <dcterms:created xsi:type="dcterms:W3CDTF">2022-03-28T09:07:00Z</dcterms:created>
  <dcterms:modified xsi:type="dcterms:W3CDTF">2022-11-22T08:13:00Z</dcterms:modified>
</cp:coreProperties>
</file>